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D2230" w14:textId="77777777" w:rsidR="00743300" w:rsidRDefault="00370435">
      <w:pPr>
        <w:pStyle w:val="Title"/>
        <w:widowControl/>
        <w:rPr>
          <w:szCs w:val="24"/>
        </w:rPr>
      </w:pPr>
      <w:r>
        <w:t>Reedley College</w:t>
      </w:r>
    </w:p>
    <w:p w14:paraId="39DD2231" w14:textId="77777777" w:rsidR="00743300" w:rsidRPr="00D53B58" w:rsidRDefault="00E1456E">
      <w:pPr>
        <w:pStyle w:val="Subtitle"/>
        <w:rPr>
          <w:sz w:val="36"/>
          <w:szCs w:val="36"/>
        </w:rPr>
      </w:pPr>
      <w:r w:rsidRPr="00D53B58">
        <w:rPr>
          <w:sz w:val="36"/>
          <w:szCs w:val="36"/>
        </w:rPr>
        <w:t xml:space="preserve">DEPARTMENTAL </w:t>
      </w:r>
      <w:r w:rsidR="00BD1C5C" w:rsidRPr="00D53B58">
        <w:rPr>
          <w:sz w:val="36"/>
          <w:szCs w:val="36"/>
        </w:rPr>
        <w:t>POLICY FOR EQUIVALENCY</w:t>
      </w:r>
    </w:p>
    <w:p w14:paraId="39DD2232" w14:textId="77777777" w:rsidR="00743300" w:rsidRPr="00D53B58" w:rsidRDefault="00743300">
      <w:pPr>
        <w:widowControl/>
        <w:jc w:val="center"/>
        <w:rPr>
          <w:sz w:val="16"/>
          <w:szCs w:val="16"/>
        </w:rPr>
      </w:pPr>
    </w:p>
    <w:p w14:paraId="39DD2233" w14:textId="77777777" w:rsidR="00084621" w:rsidRPr="00084621" w:rsidRDefault="00743300" w:rsidP="00084621">
      <w:pPr>
        <w:pStyle w:val="Level1"/>
        <w:widowControl/>
        <w:numPr>
          <w:ilvl w:val="0"/>
          <w:numId w:val="0"/>
        </w:numPr>
        <w:tabs>
          <w:tab w:val="clear" w:pos="-720"/>
          <w:tab w:val="clear" w:pos="0"/>
          <w:tab w:val="clear" w:pos="1440"/>
          <w:tab w:val="left" w:pos="-1440"/>
          <w:tab w:val="left" w:pos="8640"/>
          <w:tab w:val="right" w:pos="9360"/>
        </w:tabs>
        <w:ind w:left="720" w:hanging="720"/>
        <w:rPr>
          <w:i/>
          <w:sz w:val="24"/>
        </w:rPr>
      </w:pPr>
      <w:r>
        <w:rPr>
          <w:sz w:val="24"/>
        </w:rPr>
        <w:t>1.</w:t>
      </w:r>
      <w:r>
        <w:rPr>
          <w:sz w:val="24"/>
        </w:rPr>
        <w:tab/>
      </w:r>
      <w:r w:rsidR="0098797B" w:rsidRPr="005942AE">
        <w:rPr>
          <w:sz w:val="24"/>
        </w:rPr>
        <w:t xml:space="preserve">When considering the establishment of discipline equivalency standards, please consider that California Education Code §87359(b) requires that </w:t>
      </w:r>
      <w:r w:rsidR="001559A2" w:rsidRPr="005942AE">
        <w:rPr>
          <w:sz w:val="24"/>
        </w:rPr>
        <w:t>“</w:t>
      </w:r>
      <w:r w:rsidR="0098797B" w:rsidRPr="005942AE">
        <w:rPr>
          <w:sz w:val="24"/>
        </w:rPr>
        <w:t xml:space="preserve">each individual faculty member…possess qualifications that are </w:t>
      </w:r>
      <w:r w:rsidR="0098797B" w:rsidRPr="005942AE">
        <w:rPr>
          <w:b/>
          <w:bCs/>
          <w:i/>
          <w:iCs/>
          <w:sz w:val="24"/>
          <w:u w:val="single"/>
        </w:rPr>
        <w:t>at least equivalent to the applicable minimum standards</w:t>
      </w:r>
      <w:r w:rsidR="001559A2" w:rsidRPr="005942AE">
        <w:rPr>
          <w:sz w:val="24"/>
        </w:rPr>
        <w:t>.”</w:t>
      </w:r>
      <w:r w:rsidR="0098797B">
        <w:rPr>
          <w:rFonts w:ascii="Calibri" w:hAnsi="Calibri"/>
          <w:sz w:val="22"/>
          <w:szCs w:val="22"/>
        </w:rPr>
        <w:t xml:space="preserve"> </w:t>
      </w:r>
      <w:r>
        <w:rPr>
          <w:sz w:val="24"/>
        </w:rPr>
        <w:t xml:space="preserve">Fill out the application that is included with this set of instructions. </w:t>
      </w:r>
      <w:r w:rsidR="00320F0C">
        <w:rPr>
          <w:sz w:val="24"/>
        </w:rPr>
        <w:t>Please</w:t>
      </w:r>
      <w:r w:rsidR="00FD6B5D">
        <w:rPr>
          <w:sz w:val="24"/>
        </w:rPr>
        <w:t xml:space="preserve"> use the current </w:t>
      </w:r>
      <w:r w:rsidR="00FD6B5D">
        <w:rPr>
          <w:i/>
          <w:sz w:val="24"/>
        </w:rPr>
        <w:t>Minimum Qualifications for Faculty and Administrators in California Community Colleges</w:t>
      </w:r>
      <w:r w:rsidR="00320F0C">
        <w:rPr>
          <w:i/>
          <w:sz w:val="24"/>
        </w:rPr>
        <w:t xml:space="preserve">. </w:t>
      </w:r>
    </w:p>
    <w:p w14:paraId="39DD2234" w14:textId="6D87F80E" w:rsidR="00320F0C" w:rsidRDefault="00320F0C" w:rsidP="00320F0C">
      <w:pPr>
        <w:pStyle w:val="Level1"/>
        <w:widowControl/>
        <w:numPr>
          <w:ilvl w:val="0"/>
          <w:numId w:val="4"/>
        </w:numPr>
        <w:tabs>
          <w:tab w:val="clear" w:pos="-720"/>
          <w:tab w:val="clear" w:pos="0"/>
          <w:tab w:val="clear" w:pos="1440"/>
          <w:tab w:val="left" w:pos="-1440"/>
          <w:tab w:val="left" w:pos="8640"/>
          <w:tab w:val="right" w:pos="9360"/>
        </w:tabs>
        <w:rPr>
          <w:sz w:val="24"/>
        </w:rPr>
      </w:pPr>
      <w:r>
        <w:rPr>
          <w:sz w:val="24"/>
        </w:rPr>
        <w:t xml:space="preserve">Fill out the top half of the front side of the application. For the name of the discipline, please use the name given in the current disciplines list. If your </w:t>
      </w:r>
      <w:r w:rsidR="00826B8E">
        <w:rPr>
          <w:sz w:val="24"/>
        </w:rPr>
        <w:t>department</w:t>
      </w:r>
      <w:r>
        <w:rPr>
          <w:sz w:val="24"/>
        </w:rPr>
        <w:t xml:space="preserve"> uses a different name for the discipline, you may include that in parenthesis as well. </w:t>
      </w:r>
      <w:r w:rsidR="00DC480D">
        <w:rPr>
          <w:sz w:val="24"/>
        </w:rPr>
        <w:t>For item I, a majority of faculty from the discipline or related disciplines is required to sign in support</w:t>
      </w:r>
      <w:r w:rsidR="003D4A9C">
        <w:rPr>
          <w:sz w:val="24"/>
        </w:rPr>
        <w:t>.</w:t>
      </w:r>
      <w:r w:rsidR="00DC480D">
        <w:rPr>
          <w:sz w:val="24"/>
        </w:rPr>
        <w:t xml:space="preserve"> </w:t>
      </w:r>
    </w:p>
    <w:p w14:paraId="39DD2235" w14:textId="77777777" w:rsidR="00370435" w:rsidRDefault="00923696" w:rsidP="00320F0C">
      <w:pPr>
        <w:pStyle w:val="Level1"/>
        <w:widowControl/>
        <w:numPr>
          <w:ilvl w:val="0"/>
          <w:numId w:val="4"/>
        </w:numPr>
        <w:tabs>
          <w:tab w:val="clear" w:pos="-720"/>
          <w:tab w:val="clear" w:pos="0"/>
          <w:tab w:val="clear" w:pos="1440"/>
          <w:tab w:val="left" w:pos="-1440"/>
          <w:tab w:val="left" w:pos="8640"/>
          <w:tab w:val="right" w:pos="9360"/>
        </w:tabs>
        <w:rPr>
          <w:sz w:val="24"/>
        </w:rPr>
      </w:pPr>
      <w:r w:rsidRPr="00370435">
        <w:rPr>
          <w:sz w:val="24"/>
        </w:rPr>
        <w:t xml:space="preserve">For item II, please copy word for word the statement in the current disciplines list. </w:t>
      </w:r>
    </w:p>
    <w:p w14:paraId="39DD2237" w14:textId="40FE02EB" w:rsidR="00826B8E" w:rsidRDefault="00826B8E" w:rsidP="007B4F00">
      <w:pPr>
        <w:pStyle w:val="Level1"/>
        <w:widowControl/>
        <w:numPr>
          <w:ilvl w:val="0"/>
          <w:numId w:val="4"/>
        </w:numPr>
        <w:tabs>
          <w:tab w:val="clear" w:pos="-720"/>
          <w:tab w:val="clear" w:pos="0"/>
          <w:tab w:val="clear" w:pos="1440"/>
          <w:tab w:val="left" w:pos="-1440"/>
          <w:tab w:val="left" w:pos="8640"/>
          <w:tab w:val="right" w:pos="9360"/>
        </w:tabs>
        <w:rPr>
          <w:sz w:val="24"/>
        </w:rPr>
      </w:pPr>
      <w:r w:rsidRPr="00370435">
        <w:rPr>
          <w:sz w:val="24"/>
        </w:rPr>
        <w:t xml:space="preserve">For item III, please list the requirements your department wants as “the equivalent.” Please do </w:t>
      </w:r>
      <w:r w:rsidRPr="00370435">
        <w:rPr>
          <w:b/>
          <w:sz w:val="24"/>
        </w:rPr>
        <w:t>not</w:t>
      </w:r>
      <w:r w:rsidRPr="00370435">
        <w:rPr>
          <w:sz w:val="24"/>
        </w:rPr>
        <w:t xml:space="preserve"> use any of the wording from item II. </w:t>
      </w:r>
    </w:p>
    <w:p w14:paraId="39DD2238" w14:textId="6BC2B63A" w:rsidR="00775998" w:rsidRDefault="00403941" w:rsidP="00775998">
      <w:pPr>
        <w:pStyle w:val="Level1"/>
        <w:widowControl/>
        <w:numPr>
          <w:ilvl w:val="0"/>
          <w:numId w:val="4"/>
        </w:numPr>
        <w:tabs>
          <w:tab w:val="clear" w:pos="-720"/>
          <w:tab w:val="clear" w:pos="0"/>
          <w:tab w:val="clear" w:pos="1440"/>
          <w:tab w:val="left" w:pos="-1440"/>
          <w:tab w:val="left" w:pos="8640"/>
          <w:tab w:val="right" w:pos="9360"/>
        </w:tabs>
        <w:rPr>
          <w:sz w:val="24"/>
        </w:rPr>
      </w:pPr>
      <w:r>
        <w:rPr>
          <w:sz w:val="24"/>
        </w:rPr>
        <w:t xml:space="preserve">For item </w:t>
      </w:r>
      <w:r w:rsidR="000C38FE">
        <w:rPr>
          <w:sz w:val="24"/>
        </w:rPr>
        <w:t>III</w:t>
      </w:r>
      <w:r>
        <w:rPr>
          <w:sz w:val="24"/>
        </w:rPr>
        <w:t>,</w:t>
      </w:r>
      <w:r w:rsidR="00775998" w:rsidRPr="00775998">
        <w:rPr>
          <w:sz w:val="24"/>
        </w:rPr>
        <w:t xml:space="preserve"> please provide an explanation that justifies this policy</w:t>
      </w:r>
      <w:r w:rsidR="00775998">
        <w:rPr>
          <w:sz w:val="24"/>
        </w:rPr>
        <w:t>.</w:t>
      </w:r>
    </w:p>
    <w:p w14:paraId="4BDFA4CD" w14:textId="76989B8B" w:rsidR="000C38FE" w:rsidRPr="000C38FE" w:rsidRDefault="000C38FE" w:rsidP="000C38FE">
      <w:pPr>
        <w:pStyle w:val="Level1"/>
        <w:widowControl/>
        <w:numPr>
          <w:ilvl w:val="0"/>
          <w:numId w:val="4"/>
        </w:numPr>
        <w:tabs>
          <w:tab w:val="clear" w:pos="-720"/>
          <w:tab w:val="clear" w:pos="0"/>
          <w:tab w:val="clear" w:pos="1440"/>
          <w:tab w:val="left" w:pos="-1440"/>
          <w:tab w:val="left" w:pos="8640"/>
          <w:tab w:val="right" w:pos="9360"/>
        </w:tabs>
        <w:rPr>
          <w:sz w:val="24"/>
        </w:rPr>
      </w:pPr>
      <w:r>
        <w:rPr>
          <w:sz w:val="24"/>
        </w:rPr>
        <w:t>For item IV, department</w:t>
      </w:r>
      <w:r w:rsidR="003D4A9C">
        <w:rPr>
          <w:sz w:val="24"/>
        </w:rPr>
        <w:t>al</w:t>
      </w:r>
      <w:r>
        <w:rPr>
          <w:sz w:val="24"/>
        </w:rPr>
        <w:t xml:space="preserve"> policies </w:t>
      </w:r>
      <w:r w:rsidR="003D4A9C">
        <w:rPr>
          <w:sz w:val="24"/>
        </w:rPr>
        <w:t>seeking to</w:t>
      </w:r>
      <w:r>
        <w:rPr>
          <w:sz w:val="24"/>
        </w:rPr>
        <w:t xml:space="preserve"> demonstrate equivalency for petitioners who lack the specified bachelors or associates degree must also complete the GE Education Equivalency </w:t>
      </w:r>
      <w:r w:rsidR="003D4A9C">
        <w:rPr>
          <w:sz w:val="24"/>
        </w:rPr>
        <w:t>Documentation</w:t>
      </w:r>
      <w:r>
        <w:rPr>
          <w:sz w:val="24"/>
        </w:rPr>
        <w:t xml:space="preserve">.  </w:t>
      </w:r>
    </w:p>
    <w:p w14:paraId="39DD2239" w14:textId="77777777" w:rsidR="00743300" w:rsidRPr="00D53B58" w:rsidRDefault="00743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16"/>
          <w:szCs w:val="16"/>
        </w:rPr>
      </w:pPr>
    </w:p>
    <w:p w14:paraId="39DD223A" w14:textId="50132709" w:rsidR="00743300" w:rsidRDefault="00743300">
      <w:pPr>
        <w:pStyle w:val="Level1"/>
        <w:numPr>
          <w:ilvl w:val="0"/>
          <w:numId w:val="0"/>
        </w:numPr>
        <w:ind w:left="720" w:hanging="720"/>
        <w:rPr>
          <w:sz w:val="24"/>
        </w:rPr>
      </w:pPr>
      <w:r>
        <w:rPr>
          <w:sz w:val="24"/>
        </w:rPr>
        <w:t>2.</w:t>
      </w:r>
      <w:r>
        <w:rPr>
          <w:sz w:val="24"/>
        </w:rPr>
        <w:tab/>
      </w:r>
      <w:r w:rsidR="0089685E">
        <w:rPr>
          <w:sz w:val="24"/>
        </w:rPr>
        <w:t>Have the department vote</w:t>
      </w:r>
      <w:r w:rsidR="00F608E5">
        <w:rPr>
          <w:sz w:val="24"/>
        </w:rPr>
        <w:t>,</w:t>
      </w:r>
      <w:r w:rsidR="0089685E">
        <w:rPr>
          <w:sz w:val="24"/>
        </w:rPr>
        <w:t xml:space="preserve"> on the proposed policy. Next have the department chair </w:t>
      </w:r>
      <w:r w:rsidR="00370435">
        <w:rPr>
          <w:sz w:val="24"/>
        </w:rPr>
        <w:t>or division representative</w:t>
      </w:r>
      <w:r w:rsidR="0089685E">
        <w:rPr>
          <w:sz w:val="24"/>
        </w:rPr>
        <w:t xml:space="preserve"> sign the application after it </w:t>
      </w:r>
      <w:proofErr w:type="gramStart"/>
      <w:r w:rsidR="0089685E">
        <w:rPr>
          <w:sz w:val="24"/>
        </w:rPr>
        <w:t>is approved</w:t>
      </w:r>
      <w:proofErr w:type="gramEnd"/>
      <w:r w:rsidR="0089685E">
        <w:rPr>
          <w:sz w:val="24"/>
        </w:rPr>
        <w:t xml:space="preserve">. Then have the division dean </w:t>
      </w:r>
      <w:r w:rsidR="00CF0387">
        <w:rPr>
          <w:sz w:val="24"/>
        </w:rPr>
        <w:t>review</w:t>
      </w:r>
      <w:r w:rsidR="0089685E">
        <w:rPr>
          <w:sz w:val="24"/>
        </w:rPr>
        <w:t xml:space="preserve"> it and sign it as well.</w:t>
      </w:r>
    </w:p>
    <w:p w14:paraId="39DD223B" w14:textId="77777777" w:rsidR="00743300" w:rsidRPr="00D53B58" w:rsidRDefault="00743300">
      <w:pPr>
        <w:pStyle w:val="Level1"/>
        <w:numPr>
          <w:ilvl w:val="0"/>
          <w:numId w:val="0"/>
        </w:numPr>
        <w:ind w:left="720" w:hanging="720"/>
        <w:rPr>
          <w:sz w:val="16"/>
          <w:szCs w:val="16"/>
        </w:rPr>
      </w:pPr>
    </w:p>
    <w:p w14:paraId="39DD223C" w14:textId="77777777" w:rsidR="00743300" w:rsidRDefault="0089685E" w:rsidP="0089685E">
      <w:pPr>
        <w:pStyle w:val="Level1"/>
        <w:numPr>
          <w:ilvl w:val="0"/>
          <w:numId w:val="5"/>
        </w:numPr>
        <w:ind w:left="720" w:hanging="720"/>
        <w:rPr>
          <w:sz w:val="24"/>
        </w:rPr>
      </w:pPr>
      <w:r>
        <w:rPr>
          <w:sz w:val="24"/>
        </w:rPr>
        <w:tab/>
        <w:t xml:space="preserve">The division dean will send the application to the </w:t>
      </w:r>
      <w:r w:rsidR="00370435">
        <w:rPr>
          <w:sz w:val="24"/>
        </w:rPr>
        <w:t>RC</w:t>
      </w:r>
      <w:r>
        <w:rPr>
          <w:sz w:val="24"/>
        </w:rPr>
        <w:t xml:space="preserve"> Equivalency Committee.</w:t>
      </w:r>
    </w:p>
    <w:p w14:paraId="39DD223D" w14:textId="77777777" w:rsidR="0089685E" w:rsidRDefault="0089685E" w:rsidP="0089685E">
      <w:pPr>
        <w:pStyle w:val="Level1"/>
        <w:numPr>
          <w:ilvl w:val="0"/>
          <w:numId w:val="0"/>
        </w:numPr>
        <w:ind w:left="720" w:hanging="720"/>
        <w:rPr>
          <w:sz w:val="24"/>
        </w:rPr>
      </w:pPr>
    </w:p>
    <w:p w14:paraId="39DD2240" w14:textId="6F0350B6" w:rsidR="00743300" w:rsidRPr="007B4F00" w:rsidRDefault="0089685E" w:rsidP="007B4F00">
      <w:pPr>
        <w:pStyle w:val="Level1"/>
        <w:numPr>
          <w:ilvl w:val="0"/>
          <w:numId w:val="5"/>
        </w:numPr>
        <w:ind w:left="720" w:hanging="720"/>
        <w:rPr>
          <w:sz w:val="24"/>
        </w:rPr>
      </w:pPr>
      <w:r>
        <w:rPr>
          <w:sz w:val="24"/>
        </w:rPr>
        <w:tab/>
        <w:t xml:space="preserve">The application will go to the </w:t>
      </w:r>
      <w:r w:rsidR="00370435">
        <w:rPr>
          <w:sz w:val="24"/>
        </w:rPr>
        <w:t>RC</w:t>
      </w:r>
      <w:r>
        <w:rPr>
          <w:sz w:val="24"/>
        </w:rPr>
        <w:t xml:space="preserve"> Equivalency Committee Chair. If it is technically correct, it will go before the Equivalency Committee for consideration at the next available meeting. If it is </w:t>
      </w:r>
      <w:r>
        <w:rPr>
          <w:b/>
          <w:sz w:val="24"/>
        </w:rPr>
        <w:t>not</w:t>
      </w:r>
      <w:r>
        <w:rPr>
          <w:sz w:val="24"/>
        </w:rPr>
        <w:t xml:space="preserve"> technically correct, it </w:t>
      </w:r>
      <w:proofErr w:type="gramStart"/>
      <w:r>
        <w:rPr>
          <w:sz w:val="24"/>
        </w:rPr>
        <w:t>will be sent</w:t>
      </w:r>
      <w:proofErr w:type="gramEnd"/>
      <w:r>
        <w:rPr>
          <w:sz w:val="24"/>
        </w:rPr>
        <w:t xml:space="preserve"> back to the department for changes. Please make the changes and go back to step </w:t>
      </w:r>
      <w:proofErr w:type="gramStart"/>
      <w:r>
        <w:rPr>
          <w:sz w:val="24"/>
        </w:rPr>
        <w:t>2</w:t>
      </w:r>
      <w:proofErr w:type="gramEnd"/>
      <w:r>
        <w:rPr>
          <w:sz w:val="24"/>
        </w:rPr>
        <w:t xml:space="preserve">. </w:t>
      </w:r>
    </w:p>
    <w:p w14:paraId="39DD2241" w14:textId="77777777" w:rsidR="00743300" w:rsidRDefault="00743300">
      <w:pPr>
        <w:pStyle w:val="Title"/>
        <w:widowControl/>
        <w:rPr>
          <w:b w:val="0"/>
          <w:bCs w:val="0"/>
        </w:rPr>
      </w:pPr>
    </w:p>
    <w:p w14:paraId="39DD2242" w14:textId="5C29FA6B" w:rsidR="007B5FFA" w:rsidRDefault="007B4F00">
      <w:pPr>
        <w:pStyle w:val="Title"/>
        <w:widowControl/>
        <w:ind w:left="720" w:hanging="720"/>
        <w:jc w:val="left"/>
        <w:rPr>
          <w:b w:val="0"/>
          <w:bCs w:val="0"/>
        </w:rPr>
      </w:pPr>
      <w:r>
        <w:rPr>
          <w:b w:val="0"/>
          <w:bCs w:val="0"/>
        </w:rPr>
        <w:t>5</w:t>
      </w:r>
      <w:r w:rsidR="00743300">
        <w:rPr>
          <w:b w:val="0"/>
          <w:bCs w:val="0"/>
        </w:rPr>
        <w:t xml:space="preserve">. </w:t>
      </w:r>
      <w:r w:rsidR="00743300">
        <w:rPr>
          <w:b w:val="0"/>
          <w:bCs w:val="0"/>
        </w:rPr>
        <w:tab/>
      </w:r>
      <w:r w:rsidR="00ED57C3">
        <w:rPr>
          <w:b w:val="0"/>
          <w:bCs w:val="0"/>
        </w:rPr>
        <w:t>If the Equivalency Committee does not approve the policy, it will recommend changes. You can either make the changes or appeal the Equivalency Committee’s decision.</w:t>
      </w:r>
      <w:r w:rsidR="00743300">
        <w:rPr>
          <w:b w:val="0"/>
          <w:bCs w:val="0"/>
        </w:rPr>
        <w:t xml:space="preserve">  </w:t>
      </w:r>
    </w:p>
    <w:p w14:paraId="39DD2243" w14:textId="77777777" w:rsidR="007B5FFA" w:rsidRDefault="007B5FFA">
      <w:pPr>
        <w:pStyle w:val="Title"/>
        <w:widowControl/>
        <w:ind w:left="720" w:hanging="720"/>
        <w:jc w:val="left"/>
        <w:rPr>
          <w:b w:val="0"/>
          <w:bCs w:val="0"/>
        </w:rPr>
      </w:pPr>
    </w:p>
    <w:p w14:paraId="39DD2244" w14:textId="3DD27331" w:rsidR="007B5FFA" w:rsidRPr="007B5FFA" w:rsidRDefault="007B4F00">
      <w:pPr>
        <w:pStyle w:val="Title"/>
        <w:widowControl/>
        <w:ind w:left="720" w:hanging="720"/>
        <w:jc w:val="left"/>
        <w:rPr>
          <w:b w:val="0"/>
          <w:bCs w:val="0"/>
        </w:rPr>
      </w:pPr>
      <w:r>
        <w:rPr>
          <w:b w:val="0"/>
          <w:bCs w:val="0"/>
        </w:rPr>
        <w:t>6</w:t>
      </w:r>
      <w:r w:rsidR="007B5FFA">
        <w:rPr>
          <w:b w:val="0"/>
          <w:bCs w:val="0"/>
        </w:rPr>
        <w:t xml:space="preserve">.  </w:t>
      </w:r>
      <w:r w:rsidR="007B5FFA">
        <w:rPr>
          <w:b w:val="0"/>
          <w:bCs w:val="0"/>
        </w:rPr>
        <w:tab/>
      </w:r>
      <w:r w:rsidR="00084621">
        <w:rPr>
          <w:b w:val="0"/>
          <w:szCs w:val="24"/>
        </w:rPr>
        <w:t>A</w:t>
      </w:r>
      <w:r w:rsidR="00084621" w:rsidRPr="001559A2">
        <w:rPr>
          <w:b w:val="0"/>
          <w:szCs w:val="24"/>
        </w:rPr>
        <w:t xml:space="preserve">s </w:t>
      </w:r>
      <w:r w:rsidR="007B5FFA" w:rsidRPr="001559A2">
        <w:rPr>
          <w:b w:val="0"/>
          <w:szCs w:val="24"/>
        </w:rPr>
        <w:t xml:space="preserve">the </w:t>
      </w:r>
      <w:r w:rsidR="007B5FFA" w:rsidRPr="001559A2">
        <w:rPr>
          <w:b w:val="0"/>
          <w:i/>
          <w:iCs/>
          <w:szCs w:val="24"/>
        </w:rPr>
        <w:t xml:space="preserve">Minimum Qualifications </w:t>
      </w:r>
      <w:r w:rsidR="007B5FFA" w:rsidRPr="001559A2">
        <w:rPr>
          <w:b w:val="0"/>
          <w:szCs w:val="24"/>
        </w:rPr>
        <w:t xml:space="preserve">handbook </w:t>
      </w:r>
      <w:proofErr w:type="gramStart"/>
      <w:r w:rsidR="007B5FFA" w:rsidRPr="001559A2">
        <w:rPr>
          <w:b w:val="0"/>
          <w:szCs w:val="24"/>
        </w:rPr>
        <w:t>is updated</w:t>
      </w:r>
      <w:proofErr w:type="gramEnd"/>
      <w:r w:rsidR="00D77B7E">
        <w:rPr>
          <w:b w:val="0"/>
          <w:szCs w:val="24"/>
        </w:rPr>
        <w:t xml:space="preserve"> </w:t>
      </w:r>
      <w:r w:rsidR="00084621">
        <w:rPr>
          <w:b w:val="0"/>
          <w:szCs w:val="24"/>
        </w:rPr>
        <w:t>annually</w:t>
      </w:r>
      <w:r w:rsidR="00634F0D" w:rsidRPr="001559A2">
        <w:rPr>
          <w:b w:val="0"/>
          <w:szCs w:val="24"/>
        </w:rPr>
        <w:t xml:space="preserve">, departments </w:t>
      </w:r>
      <w:r w:rsidR="00084621">
        <w:rPr>
          <w:b w:val="0"/>
          <w:szCs w:val="24"/>
        </w:rPr>
        <w:t>should</w:t>
      </w:r>
      <w:r w:rsidR="00634F0D" w:rsidRPr="001559A2">
        <w:rPr>
          <w:b w:val="0"/>
          <w:szCs w:val="24"/>
        </w:rPr>
        <w:t xml:space="preserve"> review their department policy, revise as necessary, and resubmit revisions to the Equivalency Committee for review. </w:t>
      </w:r>
      <w:r w:rsidR="007B5FFA" w:rsidRPr="001559A2">
        <w:rPr>
          <w:b w:val="0"/>
          <w:szCs w:val="24"/>
        </w:rPr>
        <w:t xml:space="preserve"> Departments are </w:t>
      </w:r>
      <w:r w:rsidR="00B00AFC" w:rsidRPr="001559A2">
        <w:rPr>
          <w:b w:val="0"/>
          <w:szCs w:val="24"/>
        </w:rPr>
        <w:t xml:space="preserve">also </w:t>
      </w:r>
      <w:r w:rsidR="007B5FFA" w:rsidRPr="001559A2">
        <w:rPr>
          <w:b w:val="0"/>
          <w:szCs w:val="24"/>
        </w:rPr>
        <w:t xml:space="preserve">encouraged to take their </w:t>
      </w:r>
      <w:r w:rsidR="00B00AFC" w:rsidRPr="001559A2">
        <w:rPr>
          <w:b w:val="0"/>
          <w:szCs w:val="24"/>
        </w:rPr>
        <w:t xml:space="preserve">proposed </w:t>
      </w:r>
      <w:r w:rsidR="007B5FFA" w:rsidRPr="001559A2">
        <w:rPr>
          <w:b w:val="0"/>
          <w:szCs w:val="24"/>
        </w:rPr>
        <w:t>policies to the State Academic Senate’s Standards and Practices Committee to try to enact change in the Disciplines List Revision Handbook</w:t>
      </w:r>
      <w:r w:rsidR="00634F0D">
        <w:rPr>
          <w:b w:val="0"/>
          <w:szCs w:val="24"/>
        </w:rPr>
        <w:t xml:space="preserve">.  </w:t>
      </w:r>
      <w:r w:rsidR="007B5FFA">
        <w:rPr>
          <w:szCs w:val="24"/>
        </w:rPr>
        <w:t>    </w:t>
      </w:r>
    </w:p>
    <w:p w14:paraId="39DD2245" w14:textId="77777777" w:rsidR="00743300" w:rsidRPr="001559A2" w:rsidRDefault="00743300" w:rsidP="001559A2">
      <w:pPr>
        <w:pStyle w:val="Title"/>
        <w:widowControl/>
        <w:ind w:left="720" w:hanging="720"/>
        <w:rPr>
          <w:b w:val="0"/>
          <w:bCs w:val="0"/>
        </w:rPr>
      </w:pPr>
      <w:r>
        <w:rPr>
          <w:b w:val="0"/>
          <w:bCs w:val="0"/>
        </w:rPr>
        <w:br w:type="page"/>
      </w:r>
      <w:r w:rsidR="0015396B">
        <w:lastRenderedPageBreak/>
        <w:t>APPLICATION FOR ACCEPTANCE OF A</w:t>
      </w:r>
    </w:p>
    <w:p w14:paraId="39DD2246" w14:textId="77777777" w:rsidR="00743300" w:rsidRPr="00084621" w:rsidRDefault="0015396B" w:rsidP="00084621">
      <w:pPr>
        <w:pStyle w:val="Subtitle"/>
        <w:rPr>
          <w:sz w:val="22"/>
        </w:rPr>
      </w:pPr>
      <w:r w:rsidRPr="00BD1C5C">
        <w:rPr>
          <w:sz w:val="38"/>
        </w:rPr>
        <w:t>DEPARTMENTAL POLICY</w:t>
      </w:r>
      <w:r w:rsidR="00BD1C5C" w:rsidRPr="00BD1C5C">
        <w:rPr>
          <w:sz w:val="38"/>
        </w:rPr>
        <w:t xml:space="preserve"> FOR EQUIVALENCY</w:t>
      </w:r>
    </w:p>
    <w:p w14:paraId="39DD2247" w14:textId="77777777" w:rsidR="000F3B89" w:rsidRPr="00566EBF" w:rsidRDefault="00743300" w:rsidP="00566EBF">
      <w:pPr>
        <w:tabs>
          <w:tab w:val="left" w:pos="6480"/>
        </w:tabs>
        <w:rPr>
          <w:szCs w:val="24"/>
        </w:rPr>
      </w:pPr>
      <w:r w:rsidRPr="00566EBF">
        <w:rPr>
          <w:szCs w:val="24"/>
        </w:rPr>
        <w:tab/>
      </w:r>
    </w:p>
    <w:p w14:paraId="39DD2248" w14:textId="77777777" w:rsidR="003841C6" w:rsidRPr="00566EBF" w:rsidRDefault="003841C6" w:rsidP="00566EBF">
      <w:pPr>
        <w:tabs>
          <w:tab w:val="left" w:pos="6480"/>
        </w:tabs>
        <w:rPr>
          <w:szCs w:val="24"/>
        </w:rPr>
      </w:pPr>
      <w:r w:rsidRPr="00566EBF">
        <w:rPr>
          <w:szCs w:val="24"/>
        </w:rPr>
        <w:t xml:space="preserve">            </w:t>
      </w:r>
      <w:r w:rsidR="00743300" w:rsidRPr="00566EBF">
        <w:rPr>
          <w:szCs w:val="24"/>
        </w:rPr>
        <w:t xml:space="preserve">From (Chair): </w:t>
      </w:r>
      <w:r w:rsidR="00743300" w:rsidRPr="00566EBF">
        <w:rPr>
          <w:szCs w:val="24"/>
        </w:rPr>
        <w:fldChar w:fldCharType="begin">
          <w:ffData>
            <w:name w:val="Text1"/>
            <w:enabled/>
            <w:calcOnExit w:val="0"/>
            <w:textInput/>
          </w:ffData>
        </w:fldChar>
      </w:r>
      <w:bookmarkStart w:id="0" w:name="Text1"/>
      <w:r w:rsidR="00743300" w:rsidRPr="00566EBF">
        <w:rPr>
          <w:szCs w:val="24"/>
        </w:rPr>
        <w:instrText xml:space="preserve"> FORMTEXT </w:instrText>
      </w:r>
      <w:r w:rsidR="00743300" w:rsidRPr="00566EBF">
        <w:rPr>
          <w:szCs w:val="24"/>
        </w:rPr>
      </w:r>
      <w:r w:rsidR="00743300" w:rsidRPr="00566EBF">
        <w:rPr>
          <w:szCs w:val="24"/>
        </w:rPr>
        <w:fldChar w:fldCharType="separate"/>
      </w:r>
      <w:r w:rsidR="00062C1F" w:rsidRPr="00566EBF">
        <w:rPr>
          <w:noProof/>
          <w:szCs w:val="24"/>
        </w:rPr>
        <w:t> </w:t>
      </w:r>
      <w:r w:rsidR="00062C1F" w:rsidRPr="00566EBF">
        <w:rPr>
          <w:noProof/>
          <w:szCs w:val="24"/>
        </w:rPr>
        <w:t> </w:t>
      </w:r>
      <w:r w:rsidR="00062C1F" w:rsidRPr="00566EBF">
        <w:rPr>
          <w:noProof/>
          <w:szCs w:val="24"/>
        </w:rPr>
        <w:t> </w:t>
      </w:r>
      <w:r w:rsidR="00062C1F" w:rsidRPr="00566EBF">
        <w:rPr>
          <w:noProof/>
          <w:szCs w:val="24"/>
        </w:rPr>
        <w:t> </w:t>
      </w:r>
      <w:r w:rsidR="00062C1F" w:rsidRPr="00566EBF">
        <w:rPr>
          <w:noProof/>
          <w:szCs w:val="24"/>
        </w:rPr>
        <w:t> </w:t>
      </w:r>
      <w:r w:rsidR="00743300" w:rsidRPr="00566EBF">
        <w:rPr>
          <w:szCs w:val="24"/>
        </w:rPr>
        <w:fldChar w:fldCharType="end"/>
      </w:r>
      <w:bookmarkEnd w:id="0"/>
      <w:r w:rsidR="00743300" w:rsidRPr="00566EBF">
        <w:rPr>
          <w:szCs w:val="24"/>
        </w:rPr>
        <w:tab/>
      </w:r>
      <w:r w:rsidRPr="00566EBF">
        <w:rPr>
          <w:szCs w:val="24"/>
        </w:rPr>
        <w:t xml:space="preserve">Date: </w:t>
      </w:r>
      <w:r w:rsidRPr="00566EBF">
        <w:rPr>
          <w:szCs w:val="24"/>
        </w:rPr>
        <w:fldChar w:fldCharType="begin">
          <w:ffData>
            <w:name w:val="Text3"/>
            <w:enabled/>
            <w:calcOnExit w:val="0"/>
            <w:textInput/>
          </w:ffData>
        </w:fldChar>
      </w:r>
      <w:bookmarkStart w:id="1" w:name="Text3"/>
      <w:r w:rsidRPr="00566EBF">
        <w:rPr>
          <w:szCs w:val="24"/>
        </w:rPr>
        <w:instrText xml:space="preserve"> FORMTEXT </w:instrText>
      </w:r>
      <w:r w:rsidRPr="00566EBF">
        <w:rPr>
          <w:szCs w:val="24"/>
        </w:rPr>
      </w:r>
      <w:r w:rsidRPr="00566EBF">
        <w:rPr>
          <w:szCs w:val="24"/>
        </w:rPr>
        <w:fldChar w:fldCharType="separate"/>
      </w:r>
      <w:r w:rsidRPr="00566EBF">
        <w:rPr>
          <w:noProof/>
          <w:szCs w:val="24"/>
        </w:rPr>
        <w:t> </w:t>
      </w:r>
      <w:r w:rsidRPr="00566EBF">
        <w:rPr>
          <w:noProof/>
          <w:szCs w:val="24"/>
        </w:rPr>
        <w:t> </w:t>
      </w:r>
      <w:r w:rsidRPr="00566EBF">
        <w:rPr>
          <w:noProof/>
          <w:szCs w:val="24"/>
        </w:rPr>
        <w:t> </w:t>
      </w:r>
      <w:r w:rsidRPr="00566EBF">
        <w:rPr>
          <w:noProof/>
          <w:szCs w:val="24"/>
        </w:rPr>
        <w:t> </w:t>
      </w:r>
      <w:r w:rsidRPr="00566EBF">
        <w:rPr>
          <w:noProof/>
          <w:szCs w:val="24"/>
        </w:rPr>
        <w:t> </w:t>
      </w:r>
      <w:r w:rsidRPr="00566EBF">
        <w:rPr>
          <w:szCs w:val="24"/>
        </w:rPr>
        <w:fldChar w:fldCharType="end"/>
      </w:r>
      <w:bookmarkEnd w:id="1"/>
    </w:p>
    <w:p w14:paraId="39DD2249" w14:textId="77777777" w:rsidR="00743300" w:rsidRPr="00566EBF" w:rsidRDefault="00743300" w:rsidP="00566EBF">
      <w:pPr>
        <w:rPr>
          <w:szCs w:val="24"/>
        </w:rPr>
      </w:pPr>
    </w:p>
    <w:p w14:paraId="39DD224A" w14:textId="77777777" w:rsidR="00743300" w:rsidRPr="00566EBF" w:rsidRDefault="00743300" w:rsidP="00566EBF">
      <w:pPr>
        <w:ind w:firstLine="720"/>
        <w:rPr>
          <w:szCs w:val="24"/>
        </w:rPr>
      </w:pPr>
      <w:r w:rsidRPr="00566EBF">
        <w:rPr>
          <w:szCs w:val="24"/>
        </w:rPr>
        <w:t xml:space="preserve">Department: </w:t>
      </w:r>
      <w:r w:rsidRPr="00566EBF">
        <w:rPr>
          <w:szCs w:val="24"/>
        </w:rPr>
        <w:fldChar w:fldCharType="begin">
          <w:ffData>
            <w:name w:val="Text1"/>
            <w:enabled/>
            <w:calcOnExit w:val="0"/>
            <w:textInput/>
          </w:ffData>
        </w:fldChar>
      </w:r>
      <w:r w:rsidRPr="00566EBF">
        <w:rPr>
          <w:szCs w:val="24"/>
        </w:rPr>
        <w:instrText xml:space="preserve"> FORMTEXT </w:instrText>
      </w:r>
      <w:r w:rsidRPr="00566EBF">
        <w:rPr>
          <w:szCs w:val="24"/>
        </w:rPr>
      </w:r>
      <w:r w:rsidRPr="00566EBF">
        <w:rPr>
          <w:szCs w:val="24"/>
        </w:rPr>
        <w:fldChar w:fldCharType="separate"/>
      </w:r>
      <w:r w:rsidR="00062C1F" w:rsidRPr="00566EBF">
        <w:rPr>
          <w:noProof/>
          <w:szCs w:val="24"/>
        </w:rPr>
        <w:t> </w:t>
      </w:r>
      <w:r w:rsidR="00062C1F" w:rsidRPr="00566EBF">
        <w:rPr>
          <w:noProof/>
          <w:szCs w:val="24"/>
        </w:rPr>
        <w:t> </w:t>
      </w:r>
      <w:r w:rsidR="00062C1F" w:rsidRPr="00566EBF">
        <w:rPr>
          <w:noProof/>
          <w:szCs w:val="24"/>
        </w:rPr>
        <w:t> </w:t>
      </w:r>
      <w:r w:rsidR="00062C1F" w:rsidRPr="00566EBF">
        <w:rPr>
          <w:noProof/>
          <w:szCs w:val="24"/>
        </w:rPr>
        <w:t> </w:t>
      </w:r>
      <w:r w:rsidR="00062C1F" w:rsidRPr="00566EBF">
        <w:rPr>
          <w:noProof/>
          <w:szCs w:val="24"/>
        </w:rPr>
        <w:t> </w:t>
      </w:r>
      <w:r w:rsidRPr="00566EBF">
        <w:rPr>
          <w:szCs w:val="24"/>
        </w:rPr>
        <w:fldChar w:fldCharType="end"/>
      </w:r>
      <w:r w:rsidR="003841C6" w:rsidRPr="00566EBF">
        <w:rPr>
          <w:szCs w:val="24"/>
        </w:rPr>
        <w:tab/>
      </w:r>
      <w:r w:rsidR="003841C6" w:rsidRPr="00566EBF">
        <w:rPr>
          <w:szCs w:val="24"/>
        </w:rPr>
        <w:tab/>
      </w:r>
      <w:r w:rsidR="003841C6" w:rsidRPr="00566EBF">
        <w:rPr>
          <w:szCs w:val="24"/>
        </w:rPr>
        <w:tab/>
      </w:r>
      <w:r w:rsidR="003841C6" w:rsidRPr="00566EBF">
        <w:rPr>
          <w:szCs w:val="24"/>
        </w:rPr>
        <w:tab/>
      </w:r>
      <w:r w:rsidR="003841C6" w:rsidRPr="00566EBF">
        <w:rPr>
          <w:szCs w:val="24"/>
        </w:rPr>
        <w:tab/>
      </w:r>
      <w:r w:rsidR="003841C6" w:rsidRPr="00566EBF">
        <w:rPr>
          <w:szCs w:val="24"/>
        </w:rPr>
        <w:tab/>
        <w:t xml:space="preserve">Extension: </w:t>
      </w:r>
      <w:r w:rsidR="003841C6" w:rsidRPr="00566EBF">
        <w:rPr>
          <w:szCs w:val="24"/>
        </w:rPr>
        <w:fldChar w:fldCharType="begin">
          <w:ffData>
            <w:name w:val="Text3"/>
            <w:enabled/>
            <w:calcOnExit w:val="0"/>
            <w:textInput/>
          </w:ffData>
        </w:fldChar>
      </w:r>
      <w:r w:rsidR="003841C6" w:rsidRPr="00566EBF">
        <w:rPr>
          <w:szCs w:val="24"/>
        </w:rPr>
        <w:instrText xml:space="preserve"> FORMTEXT </w:instrText>
      </w:r>
      <w:r w:rsidR="003841C6" w:rsidRPr="00566EBF">
        <w:rPr>
          <w:szCs w:val="24"/>
        </w:rPr>
      </w:r>
      <w:r w:rsidR="003841C6" w:rsidRPr="00566EBF">
        <w:rPr>
          <w:szCs w:val="24"/>
        </w:rPr>
        <w:fldChar w:fldCharType="separate"/>
      </w:r>
      <w:r w:rsidR="003841C6" w:rsidRPr="00566EBF">
        <w:rPr>
          <w:noProof/>
          <w:szCs w:val="24"/>
        </w:rPr>
        <w:t> </w:t>
      </w:r>
      <w:r w:rsidR="003841C6" w:rsidRPr="00566EBF">
        <w:rPr>
          <w:noProof/>
          <w:szCs w:val="24"/>
        </w:rPr>
        <w:t> </w:t>
      </w:r>
      <w:r w:rsidR="003841C6" w:rsidRPr="00566EBF">
        <w:rPr>
          <w:noProof/>
          <w:szCs w:val="24"/>
        </w:rPr>
        <w:t> </w:t>
      </w:r>
      <w:r w:rsidR="003841C6" w:rsidRPr="00566EBF">
        <w:rPr>
          <w:noProof/>
          <w:szCs w:val="24"/>
        </w:rPr>
        <w:t> </w:t>
      </w:r>
      <w:r w:rsidR="003841C6" w:rsidRPr="00566EBF">
        <w:rPr>
          <w:noProof/>
          <w:szCs w:val="24"/>
        </w:rPr>
        <w:t> </w:t>
      </w:r>
      <w:r w:rsidR="003841C6" w:rsidRPr="00566EBF">
        <w:rPr>
          <w:szCs w:val="24"/>
        </w:rPr>
        <w:fldChar w:fldCharType="end"/>
      </w:r>
    </w:p>
    <w:p w14:paraId="39DD224B" w14:textId="77777777" w:rsidR="00743300" w:rsidRPr="00566EBF" w:rsidRDefault="00743300" w:rsidP="00566EBF">
      <w:pPr>
        <w:ind w:firstLine="720"/>
        <w:rPr>
          <w:szCs w:val="24"/>
        </w:rPr>
      </w:pPr>
    </w:p>
    <w:p w14:paraId="39DD224C" w14:textId="77777777" w:rsidR="00743300" w:rsidRPr="00566EBF" w:rsidRDefault="00743300" w:rsidP="00566EBF">
      <w:pPr>
        <w:ind w:firstLine="720"/>
        <w:rPr>
          <w:szCs w:val="24"/>
          <w:u w:val="single"/>
        </w:rPr>
      </w:pPr>
      <w:r w:rsidRPr="00566EBF">
        <w:rPr>
          <w:szCs w:val="24"/>
        </w:rPr>
        <w:t xml:space="preserve">Discipline(s): </w:t>
      </w:r>
      <w:r w:rsidRPr="00566EBF">
        <w:rPr>
          <w:szCs w:val="24"/>
        </w:rPr>
        <w:fldChar w:fldCharType="begin">
          <w:ffData>
            <w:name w:val="Text1"/>
            <w:enabled/>
            <w:calcOnExit w:val="0"/>
            <w:textInput/>
          </w:ffData>
        </w:fldChar>
      </w:r>
      <w:r w:rsidRPr="00566EBF">
        <w:rPr>
          <w:szCs w:val="24"/>
        </w:rPr>
        <w:instrText xml:space="preserve"> FORMTEXT </w:instrText>
      </w:r>
      <w:r w:rsidRPr="00566EBF">
        <w:rPr>
          <w:szCs w:val="24"/>
        </w:rPr>
      </w:r>
      <w:r w:rsidRPr="00566EBF">
        <w:rPr>
          <w:szCs w:val="24"/>
        </w:rPr>
        <w:fldChar w:fldCharType="separate"/>
      </w:r>
      <w:r w:rsidR="00062C1F" w:rsidRPr="00566EBF">
        <w:rPr>
          <w:noProof/>
          <w:szCs w:val="24"/>
        </w:rPr>
        <w:t> </w:t>
      </w:r>
      <w:r w:rsidR="00062C1F" w:rsidRPr="00566EBF">
        <w:rPr>
          <w:noProof/>
          <w:szCs w:val="24"/>
        </w:rPr>
        <w:t> </w:t>
      </w:r>
      <w:r w:rsidR="00062C1F" w:rsidRPr="00566EBF">
        <w:rPr>
          <w:noProof/>
          <w:szCs w:val="24"/>
        </w:rPr>
        <w:t> </w:t>
      </w:r>
      <w:r w:rsidR="00062C1F" w:rsidRPr="00566EBF">
        <w:rPr>
          <w:noProof/>
          <w:szCs w:val="24"/>
        </w:rPr>
        <w:t> </w:t>
      </w:r>
      <w:r w:rsidR="00062C1F" w:rsidRPr="00566EBF">
        <w:rPr>
          <w:noProof/>
          <w:szCs w:val="24"/>
        </w:rPr>
        <w:t> </w:t>
      </w:r>
      <w:r w:rsidRPr="00566EBF">
        <w:rPr>
          <w:szCs w:val="24"/>
        </w:rPr>
        <w:fldChar w:fldCharType="end"/>
      </w:r>
    </w:p>
    <w:p w14:paraId="39DD224D" w14:textId="77777777" w:rsidR="00743300" w:rsidRPr="00D53B58" w:rsidRDefault="00743300" w:rsidP="000F3B89">
      <w:pPr>
        <w:rPr>
          <w:sz w:val="16"/>
          <w:szCs w:val="16"/>
        </w:rPr>
      </w:pPr>
    </w:p>
    <w:p w14:paraId="39DD224E" w14:textId="77777777" w:rsidR="000F3B89" w:rsidRPr="003A3F2F" w:rsidRDefault="00B52BA0" w:rsidP="000F3B89">
      <w:pPr>
        <w:rPr>
          <w:b/>
        </w:rPr>
      </w:pPr>
      <w:r>
        <w:t xml:space="preserve">I. </w:t>
      </w:r>
      <w:r>
        <w:tab/>
      </w:r>
      <w:r w:rsidR="000F3B89" w:rsidRPr="003A3F2F">
        <w:rPr>
          <w:b/>
        </w:rPr>
        <w:t>TENURED FACULTY SIGNATURE(S)</w:t>
      </w:r>
    </w:p>
    <w:p w14:paraId="39DD224F" w14:textId="77777777" w:rsidR="000F3B89" w:rsidRPr="00D53B58" w:rsidRDefault="000F3B89" w:rsidP="000F3B89">
      <w:pPr>
        <w:rPr>
          <w:sz w:val="16"/>
          <w:szCs w:val="16"/>
        </w:rPr>
      </w:pPr>
    </w:p>
    <w:p w14:paraId="39DD2250" w14:textId="77777777" w:rsidR="000F3B89" w:rsidRDefault="000F3B89" w:rsidP="000F3B89">
      <w:pPr>
        <w:pBdr>
          <w:top w:val="single" w:sz="4" w:space="1" w:color="auto"/>
          <w:left w:val="single" w:sz="4" w:space="4" w:color="auto"/>
          <w:bottom w:val="single" w:sz="4" w:space="1" w:color="auto"/>
          <w:right w:val="single" w:sz="4" w:space="4" w:color="auto"/>
        </w:pBdr>
      </w:pPr>
      <w:r>
        <w:t xml:space="preserve">Signature of the Tenured Faculty Who Determined </w:t>
      </w:r>
      <w:r w:rsidR="00F608E5">
        <w:t>t</w:t>
      </w:r>
      <w:r>
        <w:t xml:space="preserve">hat </w:t>
      </w:r>
      <w:r w:rsidR="00F608E5">
        <w:t>t</w:t>
      </w:r>
      <w:r>
        <w:t xml:space="preserve">he Proposed Policy Should Satisfy </w:t>
      </w:r>
      <w:r w:rsidR="00F608E5">
        <w:t>t</w:t>
      </w:r>
      <w:r>
        <w:t xml:space="preserve">he Equivalency Requirements: </w:t>
      </w:r>
    </w:p>
    <w:p w14:paraId="39DD2251"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p>
    <w:p w14:paraId="39DD2252" w14:textId="77777777" w:rsidR="000F3B89" w:rsidRDefault="000F3B89" w:rsidP="000F3B89">
      <w:pPr>
        <w:pBdr>
          <w:top w:val="single" w:sz="4" w:space="1" w:color="auto"/>
          <w:left w:val="single" w:sz="4" w:space="4" w:color="auto"/>
          <w:bottom w:val="single" w:sz="4" w:space="1" w:color="auto"/>
          <w:right w:val="single" w:sz="4" w:space="4" w:color="auto"/>
        </w:pBd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39DD2253"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u w:val="single"/>
        </w:rPr>
      </w:pPr>
    </w:p>
    <w:p w14:paraId="39DD2254" w14:textId="77777777" w:rsidR="000F3B89" w:rsidRPr="003A3F2F" w:rsidRDefault="000F3B89" w:rsidP="000F3B89">
      <w:pPr>
        <w:pBdr>
          <w:top w:val="single" w:sz="4" w:space="1" w:color="auto"/>
          <w:left w:val="single" w:sz="4" w:space="4" w:color="auto"/>
          <w:bottom w:val="single" w:sz="4" w:space="1" w:color="auto"/>
          <w:right w:val="single" w:sz="4" w:space="4" w:color="auto"/>
        </w:pBdr>
        <w:rPr>
          <w:u w:val="single"/>
        </w:rPr>
      </w:pPr>
      <w:r>
        <w:t>Signature:</w:t>
      </w:r>
      <w:r w:rsidRPr="003A3F2F">
        <w:rPr>
          <w:u w:val="single"/>
        </w:rPr>
        <w:t xml:space="preserve"> </w:t>
      </w:r>
      <w:r w:rsidRPr="003A3F2F">
        <w:rPr>
          <w:u w:val="single"/>
        </w:rPr>
        <w:tab/>
      </w:r>
      <w:r w:rsidRPr="003A3F2F">
        <w:rPr>
          <w:u w:val="single"/>
        </w:rPr>
        <w:tab/>
      </w:r>
      <w:r w:rsidRPr="003A3F2F">
        <w:rPr>
          <w:u w:val="single"/>
        </w:rPr>
        <w:tab/>
      </w:r>
      <w:r w:rsidRPr="003A3F2F">
        <w:rPr>
          <w:u w:val="single"/>
        </w:rPr>
        <w:tab/>
      </w:r>
      <w:r w:rsidRPr="003A3F2F">
        <w:rPr>
          <w:u w:val="single"/>
        </w:rPr>
        <w:tab/>
      </w:r>
      <w:r w:rsidRPr="003A3F2F">
        <w:rPr>
          <w:u w:val="single"/>
        </w:rPr>
        <w:tab/>
      </w:r>
      <w:r w:rsidRPr="003A3F2F">
        <w:rPr>
          <w:u w:val="single"/>
        </w:rPr>
        <w:tab/>
      </w:r>
      <w:r>
        <w:t xml:space="preserve"> Date: </w:t>
      </w:r>
      <w:r>
        <w:rPr>
          <w:u w:val="single"/>
        </w:rPr>
        <w:tab/>
      </w:r>
      <w:r>
        <w:rPr>
          <w:u w:val="single"/>
        </w:rPr>
        <w:tab/>
      </w:r>
      <w:r>
        <w:rPr>
          <w:u w:val="single"/>
        </w:rPr>
        <w:tab/>
      </w:r>
      <w:r>
        <w:rPr>
          <w:u w:val="single"/>
        </w:rPr>
        <w:tab/>
      </w:r>
    </w:p>
    <w:p w14:paraId="39DD2255" w14:textId="77777777" w:rsidR="000F3B89" w:rsidRDefault="000F3B89" w:rsidP="000F3B89">
      <w:pPr>
        <w:pBdr>
          <w:top w:val="single" w:sz="4" w:space="1" w:color="auto"/>
          <w:left w:val="single" w:sz="4" w:space="4" w:color="auto"/>
          <w:bottom w:val="single" w:sz="4" w:space="1" w:color="auto"/>
          <w:right w:val="single" w:sz="4" w:space="4" w:color="auto"/>
        </w:pBdr>
        <w:rPr>
          <w:i/>
          <w:sz w:val="20"/>
        </w:rPr>
      </w:pPr>
    </w:p>
    <w:p w14:paraId="39DD2256" w14:textId="77777777" w:rsidR="000F3B89" w:rsidRDefault="000F3B89" w:rsidP="000F3B89">
      <w:pPr>
        <w:pBdr>
          <w:top w:val="single" w:sz="4" w:space="1" w:color="auto"/>
          <w:left w:val="single" w:sz="4" w:space="4" w:color="auto"/>
          <w:bottom w:val="single" w:sz="4" w:space="1" w:color="auto"/>
          <w:right w:val="single" w:sz="4" w:space="4" w:color="auto"/>
        </w:pBdr>
      </w:pPr>
      <w:r w:rsidRPr="003A3F2F">
        <w:rPr>
          <w:i/>
          <w:sz w:val="20"/>
        </w:rPr>
        <w:t>(If tenured faculty member in the discipline is not available, a tenured faculty member from a “related discipline”, as defined in the Minimum Qualifications for Faculty and Administrators in California Community Colleges handbook, may sign after consulting with the non-tenured faculty.)</w:t>
      </w:r>
    </w:p>
    <w:p w14:paraId="39DD2257" w14:textId="00CEBC71" w:rsidR="000F3B89" w:rsidRPr="00084621" w:rsidRDefault="00084621" w:rsidP="000F3B89">
      <w:r>
        <w:t xml:space="preserve">A majority of faculty from </w:t>
      </w:r>
      <w:r w:rsidR="000F3B89">
        <w:t xml:space="preserve">the discipline </w:t>
      </w:r>
      <w:r>
        <w:t xml:space="preserve">or related disciplines is required </w:t>
      </w:r>
      <w:r w:rsidR="000F3B89">
        <w:t>to sign</w:t>
      </w:r>
      <w:r w:rsidR="00DD17D6">
        <w:t xml:space="preserve"> </w:t>
      </w:r>
      <w:r>
        <w:t>in support below.</w:t>
      </w:r>
      <w:r w:rsidR="000F3B89">
        <w:t xml:space="preserve">  </w:t>
      </w:r>
    </w:p>
    <w:p w14:paraId="39DD2258"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p>
    <w:p w14:paraId="39DD2259" w14:textId="77777777" w:rsidR="000F3B89" w:rsidRDefault="000F3B89" w:rsidP="000F3B89">
      <w:pPr>
        <w:pBdr>
          <w:top w:val="single" w:sz="4" w:space="1" w:color="auto"/>
          <w:left w:val="single" w:sz="4" w:space="4" w:color="auto"/>
          <w:bottom w:val="single" w:sz="4" w:space="1" w:color="auto"/>
          <w:right w:val="single" w:sz="4" w:space="4" w:color="auto"/>
        </w:pBd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39DD225A"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u w:val="single"/>
        </w:rPr>
      </w:pPr>
    </w:p>
    <w:p w14:paraId="39DD225B" w14:textId="77777777" w:rsidR="000F3B89" w:rsidRPr="00F161E1" w:rsidRDefault="000F3B89" w:rsidP="000F3B89">
      <w:pPr>
        <w:pBdr>
          <w:top w:val="single" w:sz="4" w:space="1" w:color="auto"/>
          <w:left w:val="single" w:sz="4" w:space="4" w:color="auto"/>
          <w:bottom w:val="single" w:sz="4" w:space="1" w:color="auto"/>
          <w:right w:val="single" w:sz="4" w:space="4" w:color="auto"/>
        </w:pBd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39DD225C" w14:textId="77777777" w:rsidR="000F3B89" w:rsidRDefault="000F3B89" w:rsidP="000F3B89">
      <w:pPr>
        <w:pBdr>
          <w:top w:val="single" w:sz="4" w:space="1" w:color="auto"/>
          <w:left w:val="single" w:sz="4" w:space="4" w:color="auto"/>
          <w:bottom w:val="single" w:sz="4" w:space="1" w:color="auto"/>
          <w:right w:val="single" w:sz="4" w:space="4" w:color="auto"/>
        </w:pBdr>
      </w:pPr>
      <w:r>
        <w:tab/>
      </w:r>
      <w:r>
        <w:tab/>
      </w:r>
      <w:r>
        <w:tab/>
      </w:r>
      <w:r>
        <w:tab/>
      </w:r>
      <w:r>
        <w:tab/>
      </w:r>
      <w:r>
        <w:tab/>
      </w:r>
      <w:r>
        <w:tab/>
        <w:t xml:space="preserve">Support: </w:t>
      </w:r>
      <w:r>
        <w:rPr>
          <w:u w:val="single"/>
        </w:rPr>
        <w:tab/>
      </w:r>
      <w:r>
        <w:tab/>
        <w:t xml:space="preserve">Oppose: </w:t>
      </w:r>
      <w:r>
        <w:rPr>
          <w:u w:val="single"/>
        </w:rPr>
        <w:tab/>
      </w:r>
    </w:p>
    <w:p w14:paraId="39DD225D" w14:textId="77777777" w:rsidR="000F3B89" w:rsidRPr="003A3F2F" w:rsidRDefault="000F3B89" w:rsidP="000F3B89">
      <w:pPr>
        <w:rPr>
          <w:sz w:val="20"/>
        </w:rPr>
      </w:pPr>
    </w:p>
    <w:p w14:paraId="39DD225E"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p>
    <w:p w14:paraId="39DD225F" w14:textId="77777777" w:rsidR="000F3B89" w:rsidRDefault="000F3B89" w:rsidP="000F3B89">
      <w:pPr>
        <w:pBdr>
          <w:top w:val="single" w:sz="4" w:space="1" w:color="auto"/>
          <w:left w:val="single" w:sz="4" w:space="4" w:color="auto"/>
          <w:bottom w:val="single" w:sz="4" w:space="1" w:color="auto"/>
          <w:right w:val="single" w:sz="4" w:space="4" w:color="auto"/>
        </w:pBd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39DD2260"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u w:val="single"/>
        </w:rPr>
      </w:pPr>
    </w:p>
    <w:p w14:paraId="39DD2261"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39DD2262" w14:textId="77777777" w:rsidR="000F3B89" w:rsidRDefault="000F3B89" w:rsidP="000F3B89">
      <w:pPr>
        <w:pBdr>
          <w:top w:val="single" w:sz="4" w:space="1" w:color="auto"/>
          <w:left w:val="single" w:sz="4" w:space="4" w:color="auto"/>
          <w:bottom w:val="single" w:sz="4" w:space="1" w:color="auto"/>
          <w:right w:val="single" w:sz="4" w:space="4" w:color="auto"/>
        </w:pBdr>
      </w:pPr>
      <w:r>
        <w:tab/>
      </w:r>
      <w:r>
        <w:tab/>
      </w:r>
      <w:r>
        <w:tab/>
      </w:r>
      <w:r>
        <w:tab/>
      </w:r>
      <w:r>
        <w:tab/>
      </w:r>
      <w:r>
        <w:tab/>
      </w:r>
      <w:r>
        <w:tab/>
        <w:t xml:space="preserve">Support: </w:t>
      </w:r>
      <w:r>
        <w:rPr>
          <w:u w:val="single"/>
        </w:rPr>
        <w:tab/>
      </w:r>
      <w:r>
        <w:tab/>
        <w:t xml:space="preserve">Oppose: </w:t>
      </w:r>
      <w:r>
        <w:rPr>
          <w:u w:val="single"/>
        </w:rPr>
        <w:tab/>
      </w:r>
    </w:p>
    <w:p w14:paraId="39DD2263" w14:textId="77777777" w:rsidR="000F3B89" w:rsidRPr="00D53B58" w:rsidRDefault="000F3B89" w:rsidP="000F3B89">
      <w:pPr>
        <w:rPr>
          <w:sz w:val="16"/>
          <w:szCs w:val="16"/>
        </w:rPr>
      </w:pPr>
    </w:p>
    <w:p w14:paraId="39DD2264"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p>
    <w:p w14:paraId="39DD2265" w14:textId="77777777" w:rsidR="000F3B89" w:rsidRDefault="000F3B89" w:rsidP="000F3B89">
      <w:pPr>
        <w:pBdr>
          <w:top w:val="single" w:sz="4" w:space="1" w:color="auto"/>
          <w:left w:val="single" w:sz="4" w:space="4" w:color="auto"/>
          <w:bottom w:val="single" w:sz="4" w:space="1" w:color="auto"/>
          <w:right w:val="single" w:sz="4" w:space="4" w:color="auto"/>
        </w:pBd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39DD2266"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u w:val="single"/>
        </w:rPr>
      </w:pPr>
    </w:p>
    <w:p w14:paraId="39DD2267"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39DD2268" w14:textId="77777777" w:rsidR="000F3B89" w:rsidRDefault="000F3B89" w:rsidP="000F3B89">
      <w:pPr>
        <w:pBdr>
          <w:top w:val="single" w:sz="4" w:space="1" w:color="auto"/>
          <w:left w:val="single" w:sz="4" w:space="4" w:color="auto"/>
          <w:bottom w:val="single" w:sz="4" w:space="1" w:color="auto"/>
          <w:right w:val="single" w:sz="4" w:space="4" w:color="auto"/>
        </w:pBdr>
      </w:pPr>
      <w:r>
        <w:tab/>
      </w:r>
      <w:r>
        <w:tab/>
      </w:r>
      <w:r>
        <w:tab/>
      </w:r>
      <w:r>
        <w:tab/>
      </w:r>
      <w:r>
        <w:tab/>
      </w:r>
      <w:r>
        <w:tab/>
      </w:r>
      <w:r>
        <w:tab/>
        <w:t xml:space="preserve">Support: </w:t>
      </w:r>
      <w:r>
        <w:rPr>
          <w:u w:val="single"/>
        </w:rPr>
        <w:tab/>
      </w:r>
      <w:r>
        <w:tab/>
        <w:t xml:space="preserve">Oppose: </w:t>
      </w:r>
      <w:r>
        <w:rPr>
          <w:u w:val="single"/>
        </w:rPr>
        <w:tab/>
      </w:r>
    </w:p>
    <w:p w14:paraId="39DD2269" w14:textId="77777777" w:rsidR="000F3B89" w:rsidRPr="00D53B58" w:rsidRDefault="000F3B89" w:rsidP="000F3B89">
      <w:pPr>
        <w:rPr>
          <w:sz w:val="16"/>
          <w:szCs w:val="16"/>
        </w:rPr>
      </w:pPr>
    </w:p>
    <w:p w14:paraId="39DD226A"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p>
    <w:p w14:paraId="39DD226B" w14:textId="77777777" w:rsidR="000F3B89" w:rsidRDefault="000F3B89" w:rsidP="000F3B89">
      <w:pPr>
        <w:pBdr>
          <w:top w:val="single" w:sz="4" w:space="1" w:color="auto"/>
          <w:left w:val="single" w:sz="4" w:space="4" w:color="auto"/>
          <w:bottom w:val="single" w:sz="4" w:space="1" w:color="auto"/>
          <w:right w:val="single" w:sz="4" w:space="4" w:color="auto"/>
        </w:pBd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39DD226C"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u w:val="single"/>
        </w:rPr>
      </w:pPr>
    </w:p>
    <w:p w14:paraId="39DD226D" w14:textId="77777777" w:rsidR="000F3B89" w:rsidRDefault="000F3B89" w:rsidP="000F3B89">
      <w:pPr>
        <w:pBdr>
          <w:top w:val="single" w:sz="4" w:space="1" w:color="auto"/>
          <w:left w:val="single" w:sz="4" w:space="4" w:color="auto"/>
          <w:bottom w:val="single" w:sz="4" w:space="1" w:color="auto"/>
          <w:right w:val="single" w:sz="4" w:space="4" w:color="auto"/>
        </w:pBd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39DD226E" w14:textId="77777777" w:rsidR="000F3B89" w:rsidRPr="003A3F2F" w:rsidRDefault="000F3B89" w:rsidP="000F3B89">
      <w:pPr>
        <w:pBdr>
          <w:top w:val="single" w:sz="4" w:space="1" w:color="auto"/>
          <w:left w:val="single" w:sz="4" w:space="4" w:color="auto"/>
          <w:bottom w:val="single" w:sz="4" w:space="1" w:color="auto"/>
          <w:right w:val="single" w:sz="4" w:space="4" w:color="auto"/>
        </w:pBdr>
        <w:rPr>
          <w:sz w:val="20"/>
        </w:rPr>
      </w:pPr>
    </w:p>
    <w:p w14:paraId="39DD226F" w14:textId="77777777" w:rsidR="000F3B89" w:rsidRDefault="000F3B89" w:rsidP="000F3B89">
      <w:pPr>
        <w:pBdr>
          <w:top w:val="single" w:sz="4" w:space="1" w:color="auto"/>
          <w:left w:val="single" w:sz="4" w:space="4" w:color="auto"/>
          <w:bottom w:val="single" w:sz="4" w:space="1" w:color="auto"/>
          <w:right w:val="single" w:sz="4" w:space="4" w:color="auto"/>
        </w:pBdr>
      </w:pPr>
      <w:r>
        <w:tab/>
      </w:r>
      <w:r>
        <w:tab/>
      </w:r>
      <w:r>
        <w:tab/>
      </w:r>
      <w:r>
        <w:tab/>
      </w:r>
      <w:r>
        <w:tab/>
      </w:r>
      <w:r>
        <w:tab/>
      </w:r>
      <w:r>
        <w:tab/>
        <w:t xml:space="preserve">Support: </w:t>
      </w:r>
      <w:r>
        <w:rPr>
          <w:u w:val="single"/>
        </w:rPr>
        <w:tab/>
      </w:r>
      <w:r>
        <w:tab/>
        <w:t xml:space="preserve">Oppose: </w:t>
      </w:r>
      <w:r>
        <w:rPr>
          <w:u w:val="single"/>
        </w:rPr>
        <w:tab/>
      </w:r>
    </w:p>
    <w:p w14:paraId="39DD2270" w14:textId="08BC4582" w:rsidR="000F3B89" w:rsidRPr="003A3F2F" w:rsidRDefault="000F3B89" w:rsidP="000F3B89">
      <w:pPr>
        <w:rPr>
          <w:b/>
        </w:rPr>
      </w:pPr>
      <w:r>
        <w:br w:type="page"/>
      </w:r>
      <w:r w:rsidRPr="003A3F2F">
        <w:rPr>
          <w:b/>
        </w:rPr>
        <w:lastRenderedPageBreak/>
        <w:t>DEPARTMENT CHAIR SIGNATURE</w:t>
      </w:r>
    </w:p>
    <w:p w14:paraId="39DD2271" w14:textId="77777777" w:rsidR="000F3B89" w:rsidRDefault="000F3B89" w:rsidP="000F3B89"/>
    <w:p w14:paraId="0FB81CAB" w14:textId="77777777" w:rsidR="003D4A9C" w:rsidRPr="003D4A9C" w:rsidRDefault="003D4A9C" w:rsidP="003D4A9C">
      <w:pPr>
        <w:rPr>
          <w:b/>
        </w:rPr>
      </w:pPr>
      <w:r w:rsidRPr="003D4A9C">
        <w:rPr>
          <w:b/>
        </w:rPr>
        <w:t>Do any of the colleges in the district offer a comparable program?  _____</w:t>
      </w:r>
      <w:proofErr w:type="gramStart"/>
      <w:r w:rsidRPr="003D4A9C">
        <w:rPr>
          <w:b/>
        </w:rPr>
        <w:t>Yes  _</w:t>
      </w:r>
      <w:proofErr w:type="gramEnd"/>
      <w:r w:rsidRPr="003D4A9C">
        <w:rPr>
          <w:b/>
        </w:rPr>
        <w:t>_____No</w:t>
      </w:r>
    </w:p>
    <w:p w14:paraId="25307855" w14:textId="77777777" w:rsidR="003D4A9C" w:rsidRPr="003D4A9C" w:rsidRDefault="003D4A9C" w:rsidP="003D4A9C">
      <w:pPr>
        <w:rPr>
          <w:b/>
        </w:rPr>
      </w:pPr>
      <w:r w:rsidRPr="003D4A9C">
        <w:rPr>
          <w:b/>
        </w:rPr>
        <w:t xml:space="preserve">If so, which colleges: </w:t>
      </w:r>
      <w:r w:rsidRPr="003D4A9C">
        <w:rPr>
          <w:b/>
          <w:u w:val="single"/>
        </w:rPr>
        <w:tab/>
      </w:r>
      <w:r w:rsidRPr="003D4A9C">
        <w:rPr>
          <w:b/>
          <w:u w:val="single"/>
        </w:rPr>
        <w:tab/>
      </w:r>
      <w:r w:rsidRPr="003D4A9C">
        <w:rPr>
          <w:b/>
          <w:u w:val="single"/>
        </w:rPr>
        <w:tab/>
      </w:r>
      <w:r w:rsidRPr="003D4A9C">
        <w:rPr>
          <w:b/>
          <w:u w:val="single"/>
        </w:rPr>
        <w:tab/>
      </w:r>
      <w:r w:rsidRPr="003D4A9C">
        <w:rPr>
          <w:b/>
          <w:u w:val="single"/>
        </w:rPr>
        <w:tab/>
      </w:r>
      <w:r w:rsidRPr="003D4A9C">
        <w:rPr>
          <w:b/>
          <w:u w:val="single"/>
        </w:rPr>
        <w:tab/>
      </w:r>
      <w:r w:rsidRPr="003D4A9C">
        <w:rPr>
          <w:b/>
          <w:u w:val="single"/>
        </w:rPr>
        <w:tab/>
      </w:r>
      <w:r w:rsidRPr="003D4A9C">
        <w:rPr>
          <w:b/>
          <w:u w:val="single"/>
        </w:rPr>
        <w:tab/>
      </w:r>
      <w:r w:rsidRPr="003D4A9C">
        <w:rPr>
          <w:b/>
          <w:u w:val="single"/>
        </w:rPr>
        <w:tab/>
      </w:r>
      <w:r w:rsidRPr="003D4A9C">
        <w:rPr>
          <w:b/>
          <w:u w:val="single"/>
        </w:rPr>
        <w:tab/>
      </w:r>
    </w:p>
    <w:p w14:paraId="4F850ECC" w14:textId="77777777" w:rsidR="003D4A9C" w:rsidRPr="003D4A9C" w:rsidRDefault="003D4A9C" w:rsidP="003D4A9C">
      <w:pPr>
        <w:rPr>
          <w:b/>
        </w:rPr>
      </w:pPr>
    </w:p>
    <w:p w14:paraId="3E95919C" w14:textId="77777777" w:rsidR="003D4A9C" w:rsidRPr="003D4A9C" w:rsidRDefault="003D4A9C" w:rsidP="003D4A9C">
      <w:pPr>
        <w:rPr>
          <w:b/>
        </w:rPr>
      </w:pPr>
      <w:r w:rsidRPr="003D4A9C">
        <w:rPr>
          <w:b/>
        </w:rPr>
        <w:t>If applicable, have RC Faculty reviewed this departmental policy with the appropriate faculty at the other colleges offering a comparable program?  _____</w:t>
      </w:r>
      <w:proofErr w:type="gramStart"/>
      <w:r w:rsidRPr="003D4A9C">
        <w:rPr>
          <w:b/>
        </w:rPr>
        <w:t>Yes  _</w:t>
      </w:r>
      <w:proofErr w:type="gramEnd"/>
      <w:r w:rsidRPr="003D4A9C">
        <w:rPr>
          <w:b/>
        </w:rPr>
        <w:t>_____No</w:t>
      </w:r>
    </w:p>
    <w:p w14:paraId="0AFFDDEC" w14:textId="77777777" w:rsidR="003D4A9C" w:rsidRPr="003D4A9C" w:rsidRDefault="003D4A9C" w:rsidP="003D4A9C">
      <w:pPr>
        <w:rPr>
          <w:b/>
        </w:rPr>
      </w:pPr>
      <w:r w:rsidRPr="003D4A9C">
        <w:rPr>
          <w:b/>
        </w:rPr>
        <w:t xml:space="preserve">If so, which instructors: </w:t>
      </w:r>
      <w:r w:rsidRPr="003D4A9C">
        <w:rPr>
          <w:b/>
          <w:u w:val="single"/>
        </w:rPr>
        <w:tab/>
      </w:r>
      <w:r w:rsidRPr="003D4A9C">
        <w:rPr>
          <w:b/>
          <w:u w:val="single"/>
        </w:rPr>
        <w:tab/>
      </w:r>
      <w:r w:rsidRPr="003D4A9C">
        <w:rPr>
          <w:b/>
          <w:u w:val="single"/>
        </w:rPr>
        <w:tab/>
      </w:r>
      <w:r w:rsidRPr="003D4A9C">
        <w:rPr>
          <w:b/>
          <w:u w:val="single"/>
        </w:rPr>
        <w:tab/>
      </w:r>
      <w:r w:rsidRPr="003D4A9C">
        <w:rPr>
          <w:b/>
          <w:u w:val="single"/>
        </w:rPr>
        <w:tab/>
      </w:r>
      <w:r w:rsidRPr="003D4A9C">
        <w:rPr>
          <w:b/>
          <w:u w:val="single"/>
        </w:rPr>
        <w:tab/>
      </w:r>
      <w:r w:rsidRPr="003D4A9C">
        <w:rPr>
          <w:b/>
          <w:u w:val="single"/>
        </w:rPr>
        <w:tab/>
      </w:r>
      <w:r w:rsidRPr="003D4A9C">
        <w:rPr>
          <w:b/>
          <w:u w:val="single"/>
        </w:rPr>
        <w:tab/>
      </w:r>
    </w:p>
    <w:p w14:paraId="39DD2272" w14:textId="6953FAEE" w:rsidR="000F3B89" w:rsidRPr="007B4F00" w:rsidRDefault="000F3B89" w:rsidP="000F3B89">
      <w:pPr>
        <w:rPr>
          <w:b/>
        </w:rPr>
      </w:pPr>
    </w:p>
    <w:p w14:paraId="55CE7CAA" w14:textId="77777777" w:rsidR="003D4A9C" w:rsidRDefault="003D4A9C" w:rsidP="000F3B89"/>
    <w:p w14:paraId="39DD2273" w14:textId="77777777" w:rsidR="000F3B89" w:rsidRPr="00CD79B2" w:rsidRDefault="000F3B89" w:rsidP="000F3B89">
      <w:pP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39DD2274" w14:textId="77777777" w:rsidR="000F3B89" w:rsidRDefault="000F3B89" w:rsidP="000F3B89"/>
    <w:p w14:paraId="39DD2275" w14:textId="77777777" w:rsidR="000F3B89" w:rsidRDefault="000F3B89" w:rsidP="000F3B89"/>
    <w:p w14:paraId="39DD2276" w14:textId="77777777" w:rsidR="000F3B89" w:rsidRPr="00CD79B2" w:rsidRDefault="000F3B89" w:rsidP="000F3B89">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39DD2277" w14:textId="77777777" w:rsidR="000F3B89" w:rsidRDefault="000F3B89" w:rsidP="000F3B89"/>
    <w:p w14:paraId="39DD2278" w14:textId="77777777" w:rsidR="007B5FFA" w:rsidRDefault="007B5FFA" w:rsidP="000F3B89"/>
    <w:p w14:paraId="39DD227E" w14:textId="77777777" w:rsidR="007B5FFA" w:rsidRPr="001559A2" w:rsidRDefault="007B5FFA" w:rsidP="007B5FFA">
      <w:pPr>
        <w:pBdr>
          <w:bottom w:val="single" w:sz="12" w:space="1" w:color="auto"/>
        </w:pBdr>
      </w:pPr>
    </w:p>
    <w:p w14:paraId="39DD227F" w14:textId="77777777" w:rsidR="007B5FFA" w:rsidRDefault="007B5FFA" w:rsidP="007B5FFA">
      <w:pPr>
        <w:pBdr>
          <w:bottom w:val="single" w:sz="12" w:space="1" w:color="auto"/>
        </w:pBdr>
      </w:pPr>
      <w:r w:rsidRPr="001559A2">
        <w:t>(Faculty from other colleges may include a statement of support or non-support).</w:t>
      </w:r>
    </w:p>
    <w:p w14:paraId="39DD2280" w14:textId="77777777" w:rsidR="000F3B89" w:rsidRDefault="000F3B89" w:rsidP="000F3B89">
      <w:pPr>
        <w:pBdr>
          <w:bottom w:val="single" w:sz="12" w:space="1" w:color="auto"/>
        </w:pBdr>
      </w:pPr>
    </w:p>
    <w:p w14:paraId="39DD2281" w14:textId="77777777" w:rsidR="000F3B89" w:rsidRDefault="000F3B89" w:rsidP="000F3B89"/>
    <w:p w14:paraId="39DD2282" w14:textId="77777777" w:rsidR="000F3B89" w:rsidRPr="003A3F2F" w:rsidRDefault="000F3B89" w:rsidP="000F3B89">
      <w:pPr>
        <w:rPr>
          <w:b/>
        </w:rPr>
      </w:pPr>
      <w:r w:rsidRPr="003A3F2F">
        <w:rPr>
          <w:b/>
        </w:rPr>
        <w:t>DEAN OF INSTRUCTION</w:t>
      </w:r>
      <w:r w:rsidR="00F161E1">
        <w:rPr>
          <w:b/>
        </w:rPr>
        <w:t>/STUDENT SERVICES</w:t>
      </w:r>
      <w:r w:rsidRPr="003A3F2F">
        <w:rPr>
          <w:b/>
        </w:rPr>
        <w:t xml:space="preserve"> SIGNATURE</w:t>
      </w:r>
    </w:p>
    <w:p w14:paraId="39DD2283" w14:textId="77777777" w:rsidR="000F3B89" w:rsidRDefault="000F3B89" w:rsidP="000F3B89"/>
    <w:p w14:paraId="39DD2284" w14:textId="77777777" w:rsidR="000F3B89" w:rsidRDefault="000F3B89" w:rsidP="000F3B89"/>
    <w:p w14:paraId="39DD2285" w14:textId="77777777" w:rsidR="000F3B89" w:rsidRPr="00CD79B2" w:rsidRDefault="000F3B89" w:rsidP="000F3B89">
      <w:pP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p>
    <w:p w14:paraId="39DD2286" w14:textId="77777777" w:rsidR="000F3B89" w:rsidRDefault="000F3B89" w:rsidP="000F3B89"/>
    <w:p w14:paraId="39DD2287" w14:textId="77777777" w:rsidR="000F3B89" w:rsidRDefault="000F3B89" w:rsidP="000F3B89"/>
    <w:p w14:paraId="39DD2288" w14:textId="77777777" w:rsidR="000F3B89" w:rsidRPr="00CD79B2" w:rsidRDefault="000F3B89" w:rsidP="000F3B89">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39DD2289" w14:textId="77777777" w:rsidR="000F3B89" w:rsidRDefault="000F3B89" w:rsidP="000F3B89"/>
    <w:p w14:paraId="39DD228A" w14:textId="77777777" w:rsidR="00F608E5" w:rsidRDefault="00F608E5" w:rsidP="00F608E5">
      <w:pPr>
        <w:pBdr>
          <w:bottom w:val="single" w:sz="12" w:space="1" w:color="auto"/>
        </w:pBdr>
      </w:pPr>
    </w:p>
    <w:p w14:paraId="39DD228B" w14:textId="77777777" w:rsidR="00743300" w:rsidRDefault="00D53B58" w:rsidP="00D53B58">
      <w:pPr>
        <w:widowControl/>
      </w:pPr>
      <w:r>
        <w:br w:type="page"/>
      </w:r>
      <w:r w:rsidR="006C540C">
        <w:lastRenderedPageBreak/>
        <w:t xml:space="preserve">I. </w:t>
      </w:r>
      <w:r w:rsidR="006C540C">
        <w:tab/>
      </w:r>
      <w:r w:rsidR="00571FCF">
        <w:t xml:space="preserve">Statement of minimum qualifications as defined in the </w:t>
      </w:r>
      <w:r w:rsidR="00571FCF">
        <w:rPr>
          <w:i/>
        </w:rPr>
        <w:t>Minimum Qualifications for Faculty and Administrators in California Community Colleges</w:t>
      </w:r>
      <w:r w:rsidR="00571FCF">
        <w:t xml:space="preserve"> handbook</w:t>
      </w:r>
      <w:r w:rsidR="00743300">
        <w:t>:</w:t>
      </w:r>
    </w:p>
    <w:p w14:paraId="39DD228C" w14:textId="77777777" w:rsidR="00743300" w:rsidRDefault="00743300"/>
    <w:p w14:paraId="39DD228D" w14:textId="77777777" w:rsidR="00743300" w:rsidRDefault="00743300" w:rsidP="001C439C">
      <w:pPr>
        <w:ind w:firstLine="720"/>
      </w:pPr>
      <w:r>
        <w:fldChar w:fldCharType="begin">
          <w:ffData>
            <w:name w:val="Text5"/>
            <w:enabled/>
            <w:calcOnExit w:val="0"/>
            <w:textInput/>
          </w:ffData>
        </w:fldChar>
      </w:r>
      <w:bookmarkStart w:id="2" w:name="Text5"/>
      <w:r>
        <w:instrText xml:space="preserve"> FORMTEXT </w:instrText>
      </w:r>
      <w:r>
        <w:fldChar w:fldCharType="separate"/>
      </w:r>
      <w:r w:rsidR="00062C1F">
        <w:rPr>
          <w:noProof/>
        </w:rPr>
        <w:t> </w:t>
      </w:r>
      <w:r w:rsidR="00062C1F">
        <w:rPr>
          <w:noProof/>
        </w:rPr>
        <w:t> </w:t>
      </w:r>
      <w:r w:rsidR="00062C1F">
        <w:rPr>
          <w:noProof/>
        </w:rPr>
        <w:t> </w:t>
      </w:r>
      <w:r w:rsidR="00062C1F">
        <w:rPr>
          <w:noProof/>
        </w:rPr>
        <w:t> </w:t>
      </w:r>
      <w:r w:rsidR="00062C1F">
        <w:rPr>
          <w:noProof/>
        </w:rPr>
        <w:t> </w:t>
      </w:r>
      <w:r>
        <w:fldChar w:fldCharType="end"/>
      </w:r>
      <w:bookmarkEnd w:id="2"/>
    </w:p>
    <w:p w14:paraId="39DD228E" w14:textId="77777777" w:rsidR="00743300" w:rsidRDefault="00743300"/>
    <w:p w14:paraId="39DD228F" w14:textId="77777777" w:rsidR="00743300" w:rsidRDefault="00743300"/>
    <w:p w14:paraId="39DD2290" w14:textId="77777777" w:rsidR="00956529" w:rsidRDefault="00956529" w:rsidP="00571FCF"/>
    <w:p w14:paraId="39DD2291" w14:textId="77777777" w:rsidR="00BD7839" w:rsidRDefault="00BD7839" w:rsidP="00571FCF"/>
    <w:p w14:paraId="39DD2292" w14:textId="77777777" w:rsidR="00956529" w:rsidRDefault="00956529" w:rsidP="00D53B58">
      <w:pPr>
        <w:widowControl/>
      </w:pPr>
    </w:p>
    <w:p w14:paraId="39DD2293" w14:textId="77777777" w:rsidR="00956529" w:rsidRDefault="00956529" w:rsidP="00571FCF"/>
    <w:p w14:paraId="39DD2294" w14:textId="77777777" w:rsidR="00571FCF" w:rsidRDefault="00D53B58" w:rsidP="00571FCF">
      <w:r>
        <w:t>I</w:t>
      </w:r>
      <w:r w:rsidR="006C540C">
        <w:t xml:space="preserve">I. </w:t>
      </w:r>
      <w:r w:rsidR="006C540C">
        <w:tab/>
      </w:r>
      <w:r w:rsidR="00571FCF">
        <w:t>Recommended Departmental Policy for a</w:t>
      </w:r>
      <w:r w:rsidR="000F3B89">
        <w:t xml:space="preserve">n </w:t>
      </w:r>
      <w:r w:rsidR="00571FCF">
        <w:rPr>
          <w:i/>
        </w:rPr>
        <w:t>Equivalency</w:t>
      </w:r>
      <w:r w:rsidR="00571FCF">
        <w:t>:</w:t>
      </w:r>
    </w:p>
    <w:p w14:paraId="39DD2295" w14:textId="77777777" w:rsidR="00571FCF" w:rsidRDefault="00571FCF" w:rsidP="00571FCF"/>
    <w:p w14:paraId="39DD2296" w14:textId="77777777" w:rsidR="00571FCF" w:rsidRDefault="00571FCF" w:rsidP="001C439C">
      <w:pPr>
        <w:ind w:firstLine="720"/>
      </w:pPr>
      <w:r>
        <w:fldChar w:fldCharType="begin">
          <w:ffData>
            <w:name w:val=""/>
            <w:enabled/>
            <w:calcOnExit w:val="0"/>
            <w:textInput/>
          </w:ffData>
        </w:fldChar>
      </w:r>
      <w:r>
        <w:instrText xml:space="preserve"> FORMTEXT </w:instrText>
      </w:r>
      <w:r>
        <w:fldChar w:fldCharType="separate"/>
      </w:r>
      <w:r w:rsidR="00062C1F">
        <w:rPr>
          <w:noProof/>
        </w:rPr>
        <w:t> </w:t>
      </w:r>
      <w:r w:rsidR="00062C1F">
        <w:rPr>
          <w:noProof/>
        </w:rPr>
        <w:t> </w:t>
      </w:r>
      <w:r w:rsidR="00062C1F">
        <w:rPr>
          <w:noProof/>
        </w:rPr>
        <w:t> </w:t>
      </w:r>
      <w:r w:rsidR="00062C1F">
        <w:rPr>
          <w:noProof/>
        </w:rPr>
        <w:t> </w:t>
      </w:r>
      <w:r w:rsidR="00062C1F">
        <w:rPr>
          <w:noProof/>
        </w:rPr>
        <w:t> </w:t>
      </w:r>
      <w:r>
        <w:fldChar w:fldCharType="end"/>
      </w:r>
    </w:p>
    <w:p w14:paraId="39DD2297" w14:textId="77777777" w:rsidR="00571FCF" w:rsidRDefault="00571FCF"/>
    <w:p w14:paraId="39DD2298" w14:textId="77777777" w:rsidR="00743300" w:rsidRDefault="00743300"/>
    <w:p w14:paraId="39DD2299" w14:textId="77777777" w:rsidR="00743300" w:rsidRDefault="00743300"/>
    <w:p w14:paraId="39DD229A" w14:textId="77777777" w:rsidR="00BD7839" w:rsidRDefault="00BD7839"/>
    <w:p w14:paraId="39DD229B" w14:textId="77777777" w:rsidR="00BD7839" w:rsidRDefault="00BD7839"/>
    <w:p w14:paraId="39DD229C" w14:textId="77777777" w:rsidR="00BD7839" w:rsidRDefault="00BD7839"/>
    <w:p w14:paraId="39DD229D" w14:textId="77777777" w:rsidR="00BD7839" w:rsidRDefault="00BD7839"/>
    <w:p w14:paraId="39DD229E" w14:textId="77777777" w:rsidR="00BD7839" w:rsidRDefault="00BD7839"/>
    <w:p w14:paraId="39DD229F" w14:textId="77777777" w:rsidR="00BD7839" w:rsidRDefault="00BD7839"/>
    <w:p w14:paraId="39DD22A0" w14:textId="77777777" w:rsidR="00BD7839" w:rsidRDefault="00BD7839"/>
    <w:p w14:paraId="39DD22A1" w14:textId="77777777" w:rsidR="00BD7839" w:rsidRDefault="006C540C" w:rsidP="00F608E5">
      <w:r>
        <w:t>I</w:t>
      </w:r>
      <w:r w:rsidR="00D53B58">
        <w:t>II</w:t>
      </w:r>
      <w:r>
        <w:t xml:space="preserve">. </w:t>
      </w:r>
      <w:r>
        <w:tab/>
      </w:r>
      <w:r w:rsidR="00C5279B">
        <w:t>P</w:t>
      </w:r>
      <w:r w:rsidR="00BD7839">
        <w:t xml:space="preserve">lease provide </w:t>
      </w:r>
      <w:r w:rsidR="005940A3">
        <w:t>an explanation that justifies this policy</w:t>
      </w:r>
      <w:r w:rsidR="00B5787C">
        <w:t xml:space="preserve"> if different </w:t>
      </w:r>
      <w:proofErr w:type="gramStart"/>
      <w:r w:rsidR="00B5787C">
        <w:t>than</w:t>
      </w:r>
      <w:proofErr w:type="gramEnd"/>
      <w:r w:rsidR="00B5787C">
        <w:t xml:space="preserve"> state minimum qualifications</w:t>
      </w:r>
      <w:r w:rsidR="00BD7839">
        <w:t>:</w:t>
      </w:r>
    </w:p>
    <w:p w14:paraId="39DD22A2" w14:textId="77777777" w:rsidR="00BD7839" w:rsidRDefault="00BD7839" w:rsidP="00BD7839"/>
    <w:p w14:paraId="39DD22A3" w14:textId="77777777" w:rsidR="00BD7839" w:rsidRDefault="00BD7839" w:rsidP="001C439C">
      <w:pPr>
        <w:ind w:firstLine="720"/>
      </w:pPr>
      <w:r>
        <w:fldChar w:fldCharType="begin">
          <w:ffData>
            <w:name w:val=""/>
            <w:enabled/>
            <w:calcOnExit w:val="0"/>
            <w:textInput/>
          </w:ffData>
        </w:fldChar>
      </w:r>
      <w:r>
        <w:instrText xml:space="preserve"> FORMTEXT </w:instrText>
      </w:r>
      <w:r>
        <w:fldChar w:fldCharType="separate"/>
      </w:r>
      <w:r w:rsidR="00062C1F">
        <w:rPr>
          <w:noProof/>
        </w:rPr>
        <w:t> </w:t>
      </w:r>
      <w:r w:rsidR="00062C1F">
        <w:rPr>
          <w:noProof/>
        </w:rPr>
        <w:t> </w:t>
      </w:r>
      <w:r w:rsidR="00062C1F">
        <w:rPr>
          <w:noProof/>
        </w:rPr>
        <w:t> </w:t>
      </w:r>
      <w:r w:rsidR="00062C1F">
        <w:rPr>
          <w:noProof/>
        </w:rPr>
        <w:t> </w:t>
      </w:r>
      <w:r w:rsidR="00062C1F">
        <w:rPr>
          <w:noProof/>
        </w:rPr>
        <w:t> </w:t>
      </w:r>
      <w:r>
        <w:fldChar w:fldCharType="end"/>
      </w:r>
    </w:p>
    <w:p w14:paraId="39DD22A4" w14:textId="77777777" w:rsidR="00BD7839" w:rsidRDefault="00BD7839"/>
    <w:p w14:paraId="39DD22A5" w14:textId="77777777" w:rsidR="00743300" w:rsidRDefault="00743300"/>
    <w:p w14:paraId="39DD22A6" w14:textId="77777777" w:rsidR="00743300" w:rsidRDefault="00743300"/>
    <w:p w14:paraId="39DD22A7" w14:textId="77777777" w:rsidR="00743300" w:rsidRDefault="00743300"/>
    <w:p w14:paraId="39DD22A8" w14:textId="0E37C014" w:rsidR="000C38FE" w:rsidRDefault="000C38FE">
      <w:pPr>
        <w:widowControl/>
      </w:pPr>
      <w:r>
        <w:br w:type="page"/>
      </w:r>
    </w:p>
    <w:p w14:paraId="55A98843" w14:textId="081F75D3" w:rsidR="000C38FE" w:rsidRDefault="003D4A9C" w:rsidP="000C38FE">
      <w:pPr>
        <w:widowControl/>
        <w:rPr>
          <w:b/>
        </w:rPr>
      </w:pPr>
      <w:r>
        <w:rPr>
          <w:b/>
        </w:rPr>
        <w:lastRenderedPageBreak/>
        <w:t xml:space="preserve">IV. </w:t>
      </w:r>
      <w:r w:rsidR="000C38FE" w:rsidRPr="000C38FE">
        <w:rPr>
          <w:b/>
        </w:rPr>
        <w:t>General Education Equivalency Documentation</w:t>
      </w:r>
    </w:p>
    <w:p w14:paraId="39F7D8AC" w14:textId="7B04025F" w:rsidR="003D4A9C" w:rsidRPr="007B4F00" w:rsidRDefault="003D4A9C" w:rsidP="000C38FE">
      <w:pPr>
        <w:widowControl/>
        <w:rPr>
          <w:u w:val="single"/>
        </w:rPr>
      </w:pPr>
      <w:r>
        <w:rPr>
          <w:u w:val="single"/>
        </w:rPr>
        <w:t>D</w:t>
      </w:r>
      <w:r w:rsidRPr="007B4F00">
        <w:rPr>
          <w:u w:val="single"/>
        </w:rPr>
        <w:t>epartment</w:t>
      </w:r>
      <w:r>
        <w:rPr>
          <w:u w:val="single"/>
        </w:rPr>
        <w:t>al</w:t>
      </w:r>
      <w:r w:rsidRPr="007B4F00">
        <w:rPr>
          <w:u w:val="single"/>
        </w:rPr>
        <w:t xml:space="preserve"> policies seeking to demonstrate equivalency for petitioners who lack the specified bachelors or associates degree must also complete the GE Education Equivalency Documentation</w:t>
      </w:r>
      <w:r>
        <w:rPr>
          <w:u w:val="single"/>
        </w:rPr>
        <w:t>.</w:t>
      </w:r>
    </w:p>
    <w:p w14:paraId="63DD4D3A" w14:textId="77777777" w:rsidR="000C38FE" w:rsidRPr="000C38FE" w:rsidRDefault="000C38FE" w:rsidP="000C38FE">
      <w:pPr>
        <w:widowControl/>
      </w:pPr>
    </w:p>
    <w:p w14:paraId="3BE89093" w14:textId="77777777" w:rsidR="000C38FE" w:rsidRPr="000C38FE" w:rsidRDefault="000C38FE" w:rsidP="000C38FE">
      <w:pPr>
        <w:widowControl/>
      </w:pPr>
      <w:r w:rsidRPr="000C38FE">
        <w:t xml:space="preserve">In a traditional </w:t>
      </w:r>
      <w:proofErr w:type="gramStart"/>
      <w:r w:rsidRPr="000C38FE">
        <w:t>Associate or Arts</w:t>
      </w:r>
      <w:proofErr w:type="gramEnd"/>
      <w:r w:rsidRPr="000C38FE">
        <w:t xml:space="preserve"> or Associate of Science degree, a student must complete a minimum of 60 semester (90 quarter) units. Of the total units required for a degree, at least 18 semester (27 quarter) units of general education coursework is required in addition to meeting competency requirements in written expression and mathematics and at least 18 semester (27 quarter) units of major preparation (Title 5 §55063). The major prep units are not generally in question for equivalency requests in CTE disciplines, but the need to meet all GE areas may be when coursework </w:t>
      </w:r>
      <w:proofErr w:type="gramStart"/>
      <w:r w:rsidRPr="000C38FE">
        <w:t>has not been completed</w:t>
      </w:r>
      <w:proofErr w:type="gramEnd"/>
      <w:r w:rsidRPr="000C38FE">
        <w:t xml:space="preserve">. </w:t>
      </w:r>
    </w:p>
    <w:p w14:paraId="63FF1D75" w14:textId="77777777" w:rsidR="000C38FE" w:rsidRPr="000C38FE" w:rsidRDefault="000C38FE" w:rsidP="000C38FE">
      <w:pPr>
        <w:widowControl/>
      </w:pPr>
    </w:p>
    <w:p w14:paraId="4D1A0B56" w14:textId="77777777" w:rsidR="000C38FE" w:rsidRPr="000C38FE" w:rsidRDefault="000C38FE" w:rsidP="000C38FE">
      <w:pPr>
        <w:widowControl/>
      </w:pPr>
      <w:r w:rsidRPr="000C38FE">
        <w:t>The eighteen units of general education is expected in the follow areas (Title 5 §55063 (b</w:t>
      </w:r>
      <w:proofErr w:type="gramStart"/>
      <w:r w:rsidRPr="000C38FE">
        <w:t>)(</w:t>
      </w:r>
      <w:proofErr w:type="gramEnd"/>
      <w:r w:rsidRPr="000C38FE">
        <w:t>1)):</w:t>
      </w:r>
    </w:p>
    <w:p w14:paraId="7B31C96A" w14:textId="77777777" w:rsidR="000C38FE" w:rsidRPr="000C38FE" w:rsidRDefault="000C38FE" w:rsidP="000C38FE">
      <w:pPr>
        <w:widowControl/>
      </w:pPr>
    </w:p>
    <w:tbl>
      <w:tblPr>
        <w:tblStyle w:val="TableGrid"/>
        <w:tblW w:w="0" w:type="auto"/>
        <w:tblLook w:val="04A0" w:firstRow="1" w:lastRow="0" w:firstColumn="1" w:lastColumn="0" w:noHBand="0" w:noVBand="1"/>
      </w:tblPr>
      <w:tblGrid>
        <w:gridCol w:w="6467"/>
        <w:gridCol w:w="3370"/>
      </w:tblGrid>
      <w:tr w:rsidR="000C38FE" w:rsidRPr="000C38FE" w14:paraId="6575141A" w14:textId="77777777" w:rsidTr="003B2A05">
        <w:tc>
          <w:tcPr>
            <w:tcW w:w="6467" w:type="dxa"/>
          </w:tcPr>
          <w:p w14:paraId="4008EC48" w14:textId="77777777" w:rsidR="000C38FE" w:rsidRPr="007B4F00" w:rsidRDefault="000C38FE" w:rsidP="000C38FE">
            <w:pPr>
              <w:widowControl/>
              <w:rPr>
                <w:rFonts w:ascii="Times New Roman" w:hAnsi="Times New Roman" w:cs="Times New Roman"/>
                <w:b/>
              </w:rPr>
            </w:pPr>
            <w:r w:rsidRPr="007B4F00">
              <w:rPr>
                <w:rFonts w:ascii="Times New Roman" w:hAnsi="Times New Roman" w:cs="Times New Roman"/>
                <w:b/>
              </w:rPr>
              <w:t>Description</w:t>
            </w:r>
          </w:p>
        </w:tc>
        <w:tc>
          <w:tcPr>
            <w:tcW w:w="3370" w:type="dxa"/>
          </w:tcPr>
          <w:p w14:paraId="315D5AE7" w14:textId="77777777" w:rsidR="000C38FE" w:rsidRPr="007B4F00" w:rsidRDefault="000C38FE" w:rsidP="000C38FE">
            <w:pPr>
              <w:widowControl/>
              <w:rPr>
                <w:rFonts w:ascii="Times New Roman" w:hAnsi="Times New Roman" w:cs="Times New Roman"/>
                <w:b/>
              </w:rPr>
            </w:pPr>
            <w:r w:rsidRPr="007B4F00">
              <w:rPr>
                <w:rFonts w:ascii="Times New Roman" w:hAnsi="Times New Roman" w:cs="Times New Roman"/>
                <w:b/>
              </w:rPr>
              <w:t>Evidence/Documentation</w:t>
            </w:r>
          </w:p>
        </w:tc>
      </w:tr>
      <w:tr w:rsidR="000C38FE" w:rsidRPr="000C38FE" w14:paraId="3DEB6D84" w14:textId="77777777" w:rsidTr="003B2A05">
        <w:tc>
          <w:tcPr>
            <w:tcW w:w="6467" w:type="dxa"/>
          </w:tcPr>
          <w:p w14:paraId="57910E86" w14:textId="77777777" w:rsidR="000C38FE" w:rsidRPr="007B4F00" w:rsidRDefault="000C38FE" w:rsidP="000C38FE">
            <w:pPr>
              <w:widowControl/>
              <w:rPr>
                <w:rFonts w:ascii="Times New Roman" w:hAnsi="Times New Roman" w:cs="Times New Roman"/>
              </w:rPr>
            </w:pPr>
            <w:r w:rsidRPr="007B4F00">
              <w:rPr>
                <w:rFonts w:ascii="Times New Roman" w:hAnsi="Times New Roman" w:cs="Times New Roman"/>
                <w:b/>
              </w:rPr>
              <w:t>A. Natural Sciences</w:t>
            </w:r>
            <w:r w:rsidRPr="007B4F00">
              <w:rPr>
                <w:rFonts w:ascii="Times New Roman" w:hAnsi="Times New Roman" w:cs="Times New Roman"/>
              </w:rPr>
              <w:t xml:space="preserve"> </w:t>
            </w:r>
          </w:p>
          <w:p w14:paraId="72E705CA" w14:textId="77777777" w:rsidR="000C38FE" w:rsidRPr="007B4F00" w:rsidRDefault="000C38FE" w:rsidP="000C38FE">
            <w:pPr>
              <w:widowControl/>
              <w:rPr>
                <w:rFonts w:ascii="Times New Roman" w:eastAsia="Times New Roman" w:hAnsi="Times New Roman" w:cs="Times New Roman"/>
              </w:rPr>
            </w:pPr>
            <w:r w:rsidRPr="007B4F00">
              <w:rPr>
                <w:rFonts w:ascii="Times New Roman" w:hAnsi="Times New Roman" w:cs="Times New Roman"/>
              </w:rPr>
              <w:t xml:space="preserve">Courses in the natural sciences are </w:t>
            </w:r>
            <w:proofErr w:type="gramStart"/>
            <w:r w:rsidRPr="007B4F00">
              <w:rPr>
                <w:rFonts w:ascii="Times New Roman" w:hAnsi="Times New Roman" w:cs="Times New Roman"/>
              </w:rPr>
              <w:t>those which</w:t>
            </w:r>
            <w:proofErr w:type="gramEnd"/>
            <w:r w:rsidRPr="007B4F00">
              <w:rPr>
                <w:rFonts w:ascii="Times New Roman" w:hAnsi="Times New Roman" w:cs="Times New Roman"/>
              </w:rPr>
              <w:t xml:space="preserve"> examine the physical universe, its life forms, and its natural phenomena. To satisfy the general education requirement in natural sciences, a course shall be designed to help the student develop an appreciation and understanding of the scientific method, and encourage an understanding of the relationships between science and other human activities (Title 5 §55063 (b)(1)(A)). This category would include introductory or integrative courses in astronomy, biology, chemistry, general physical science, geology, meteorology, oceanography, physical geography, physical anthropology, physics and other scientific disciplines.</w:t>
            </w:r>
          </w:p>
          <w:p w14:paraId="23D611CB" w14:textId="77777777" w:rsidR="000C38FE" w:rsidRPr="007B4F00" w:rsidRDefault="000C38FE" w:rsidP="000C38FE">
            <w:pPr>
              <w:widowControl/>
              <w:rPr>
                <w:rFonts w:ascii="Times New Roman" w:hAnsi="Times New Roman" w:cs="Times New Roman"/>
              </w:rPr>
            </w:pPr>
          </w:p>
        </w:tc>
        <w:tc>
          <w:tcPr>
            <w:tcW w:w="3370" w:type="dxa"/>
          </w:tcPr>
          <w:p w14:paraId="66755284" w14:textId="77777777" w:rsidR="000C38FE" w:rsidRPr="007B4F00" w:rsidRDefault="000C38FE" w:rsidP="000C38FE">
            <w:pPr>
              <w:widowControl/>
              <w:rPr>
                <w:rFonts w:ascii="Times New Roman" w:hAnsi="Times New Roman" w:cs="Times New Roman"/>
              </w:rPr>
            </w:pPr>
          </w:p>
        </w:tc>
      </w:tr>
      <w:tr w:rsidR="000C38FE" w:rsidRPr="000C38FE" w14:paraId="63A1D6C9" w14:textId="77777777" w:rsidTr="003B2A05">
        <w:tc>
          <w:tcPr>
            <w:tcW w:w="6467" w:type="dxa"/>
          </w:tcPr>
          <w:p w14:paraId="0BD53972" w14:textId="77777777" w:rsidR="000C38FE" w:rsidRPr="007B4F00" w:rsidRDefault="000C38FE" w:rsidP="000C38FE">
            <w:pPr>
              <w:widowControl/>
              <w:rPr>
                <w:rFonts w:ascii="Times New Roman" w:hAnsi="Times New Roman" w:cs="Times New Roman"/>
              </w:rPr>
            </w:pPr>
            <w:r w:rsidRPr="007B4F00">
              <w:rPr>
                <w:rFonts w:ascii="Times New Roman" w:hAnsi="Times New Roman" w:cs="Times New Roman"/>
                <w:b/>
              </w:rPr>
              <w:t>B. Social and Behavioral Sciences</w:t>
            </w:r>
            <w:r w:rsidRPr="007B4F00">
              <w:rPr>
                <w:rFonts w:ascii="Times New Roman" w:hAnsi="Times New Roman" w:cs="Times New Roman"/>
              </w:rPr>
              <w:t xml:space="preserve"> </w:t>
            </w:r>
          </w:p>
          <w:p w14:paraId="0E0991C0" w14:textId="77777777" w:rsidR="000C38FE" w:rsidRPr="007B4F00" w:rsidRDefault="000C38FE" w:rsidP="000C38FE">
            <w:pPr>
              <w:widowControl/>
              <w:rPr>
                <w:rFonts w:ascii="Times New Roman" w:eastAsia="Times New Roman" w:hAnsi="Times New Roman" w:cs="Times New Roman"/>
              </w:rPr>
            </w:pPr>
            <w:r w:rsidRPr="007B4F00">
              <w:rPr>
                <w:rFonts w:ascii="Times New Roman" w:hAnsi="Times New Roman" w:cs="Times New Roman"/>
              </w:rPr>
              <w:t xml:space="preserve">Courses in the social and behavioral sciences are </w:t>
            </w:r>
            <w:proofErr w:type="gramStart"/>
            <w:r w:rsidRPr="007B4F00">
              <w:rPr>
                <w:rFonts w:ascii="Times New Roman" w:hAnsi="Times New Roman" w:cs="Times New Roman"/>
              </w:rPr>
              <w:t>those which</w:t>
            </w:r>
            <w:proofErr w:type="gramEnd"/>
            <w:r w:rsidRPr="007B4F00">
              <w:rPr>
                <w:rFonts w:ascii="Times New Roman" w:hAnsi="Times New Roman" w:cs="Times New Roman"/>
              </w:rPr>
              <w:t xml:space="preserve"> focus on people as members of society. To satisfy the general education requirement in social and behavioral sciences, a course </w:t>
            </w:r>
            <w:proofErr w:type="gramStart"/>
            <w:r w:rsidRPr="007B4F00">
              <w:rPr>
                <w:rFonts w:ascii="Times New Roman" w:hAnsi="Times New Roman" w:cs="Times New Roman"/>
              </w:rPr>
              <w:t>shall be designed</w:t>
            </w:r>
            <w:proofErr w:type="gramEnd"/>
            <w:r w:rsidRPr="007B4F00">
              <w:rPr>
                <w:rFonts w:ascii="Times New Roman" w:hAnsi="Times New Roman" w:cs="Times New Roman"/>
              </w:rPr>
              <w:t xml:space="preserve"> to develop an awareness of the method of inquiry used by the social and behavioral sciences. It shall be designed to stimulate critical thinking about the ways people act and have acted in response to their societies and should promote appreciation of how societies and social subgroups operate (Title 5 §55063 (b</w:t>
            </w:r>
            <w:proofErr w:type="gramStart"/>
            <w:r w:rsidRPr="007B4F00">
              <w:rPr>
                <w:rFonts w:ascii="Times New Roman" w:hAnsi="Times New Roman" w:cs="Times New Roman"/>
              </w:rPr>
              <w:t>)(</w:t>
            </w:r>
            <w:proofErr w:type="gramEnd"/>
            <w:r w:rsidRPr="007B4F00">
              <w:rPr>
                <w:rFonts w:ascii="Times New Roman" w:hAnsi="Times New Roman" w:cs="Times New Roman"/>
              </w:rPr>
              <w:t>1)(B)). This category would include introductory or integrative survey courses in cultural anthropology, cultural geography, economics, history, political science, psychology, sociology and related disciplines.</w:t>
            </w:r>
          </w:p>
          <w:p w14:paraId="2029233B" w14:textId="77777777" w:rsidR="000C38FE" w:rsidRPr="007B4F00" w:rsidRDefault="000C38FE" w:rsidP="000C38FE">
            <w:pPr>
              <w:widowControl/>
              <w:rPr>
                <w:rFonts w:ascii="Times New Roman" w:hAnsi="Times New Roman" w:cs="Times New Roman"/>
              </w:rPr>
            </w:pPr>
          </w:p>
        </w:tc>
        <w:tc>
          <w:tcPr>
            <w:tcW w:w="3370" w:type="dxa"/>
          </w:tcPr>
          <w:p w14:paraId="653955EA" w14:textId="77777777" w:rsidR="000C38FE" w:rsidRPr="007B4F00" w:rsidRDefault="000C38FE" w:rsidP="000C38FE">
            <w:pPr>
              <w:widowControl/>
              <w:rPr>
                <w:rFonts w:ascii="Times New Roman" w:hAnsi="Times New Roman" w:cs="Times New Roman"/>
              </w:rPr>
            </w:pPr>
          </w:p>
        </w:tc>
      </w:tr>
      <w:tr w:rsidR="000C38FE" w:rsidRPr="000C38FE" w14:paraId="5CA9313D" w14:textId="77777777" w:rsidTr="003B2A05">
        <w:tc>
          <w:tcPr>
            <w:tcW w:w="6467" w:type="dxa"/>
          </w:tcPr>
          <w:p w14:paraId="52B9C29F" w14:textId="77777777" w:rsidR="000C38FE" w:rsidRPr="007B4F00" w:rsidRDefault="000C38FE" w:rsidP="000C38FE">
            <w:pPr>
              <w:widowControl/>
              <w:rPr>
                <w:rFonts w:ascii="Times New Roman" w:eastAsia="Times New Roman" w:hAnsi="Times New Roman" w:cs="Times New Roman"/>
              </w:rPr>
            </w:pPr>
            <w:r w:rsidRPr="007B4F00">
              <w:rPr>
                <w:rFonts w:ascii="Times New Roman" w:hAnsi="Times New Roman" w:cs="Times New Roman"/>
                <w:b/>
              </w:rPr>
              <w:t>C. Humanities</w:t>
            </w:r>
            <w:r w:rsidRPr="007B4F00">
              <w:rPr>
                <w:rFonts w:ascii="Times New Roman" w:hAnsi="Times New Roman" w:cs="Times New Roman"/>
              </w:rPr>
              <w:t xml:space="preserve"> </w:t>
            </w:r>
          </w:p>
          <w:p w14:paraId="3B6C334A" w14:textId="77777777" w:rsidR="000C38FE" w:rsidRPr="007B4F00" w:rsidRDefault="000C38FE" w:rsidP="000C38FE">
            <w:pPr>
              <w:widowControl/>
              <w:rPr>
                <w:rFonts w:ascii="Times New Roman" w:eastAsia="Times New Roman" w:hAnsi="Times New Roman" w:cs="Times New Roman"/>
              </w:rPr>
            </w:pPr>
            <w:r w:rsidRPr="007B4F00">
              <w:rPr>
                <w:rFonts w:ascii="Times New Roman" w:hAnsi="Times New Roman" w:cs="Times New Roman"/>
              </w:rPr>
              <w:t xml:space="preserve">Courses in the humanities are </w:t>
            </w:r>
            <w:proofErr w:type="gramStart"/>
            <w:r w:rsidRPr="007B4F00">
              <w:rPr>
                <w:rFonts w:ascii="Times New Roman" w:hAnsi="Times New Roman" w:cs="Times New Roman"/>
              </w:rPr>
              <w:t>those which</w:t>
            </w:r>
            <w:proofErr w:type="gramEnd"/>
            <w:r w:rsidRPr="007B4F00">
              <w:rPr>
                <w:rFonts w:ascii="Times New Roman" w:hAnsi="Times New Roman" w:cs="Times New Roman"/>
              </w:rPr>
              <w:t xml:space="preserve"> study the cultural activities and artistic expressions of human beings. </w:t>
            </w:r>
            <w:proofErr w:type="gramStart"/>
            <w:r w:rsidRPr="007B4F00">
              <w:rPr>
                <w:rFonts w:ascii="Times New Roman" w:hAnsi="Times New Roman" w:cs="Times New Roman"/>
              </w:rPr>
              <w:t xml:space="preserve">To satisfy the general education requirement in the humanities, a course shall be designed to help the student develop an awareness of the ways in which people throughout the ages and in different </w:t>
            </w:r>
            <w:r w:rsidRPr="007B4F00">
              <w:rPr>
                <w:rFonts w:ascii="Times New Roman" w:hAnsi="Times New Roman" w:cs="Times New Roman"/>
              </w:rPr>
              <w:lastRenderedPageBreak/>
              <w:t>cultures have responded to themselves and the world around them in artistic and cultural creation and help the student develop aesthetic understanding and an ability to make value judgments (Title 5 §55063 (b)(1)(C)).</w:t>
            </w:r>
            <w:proofErr w:type="gramEnd"/>
            <w:r w:rsidRPr="007B4F00">
              <w:rPr>
                <w:rFonts w:ascii="Times New Roman" w:hAnsi="Times New Roman" w:cs="Times New Roman"/>
              </w:rPr>
              <w:t xml:space="preserve"> Such courses could include introductory or integrative courses in the arts, foreign languages, literature, philosophy, and religion.</w:t>
            </w:r>
          </w:p>
          <w:p w14:paraId="40F87C71" w14:textId="77777777" w:rsidR="000C38FE" w:rsidRPr="007B4F00" w:rsidRDefault="000C38FE" w:rsidP="000C38FE">
            <w:pPr>
              <w:widowControl/>
              <w:rPr>
                <w:rFonts w:ascii="Times New Roman" w:hAnsi="Times New Roman" w:cs="Times New Roman"/>
              </w:rPr>
            </w:pPr>
          </w:p>
        </w:tc>
        <w:tc>
          <w:tcPr>
            <w:tcW w:w="3370" w:type="dxa"/>
          </w:tcPr>
          <w:p w14:paraId="17CADDBC" w14:textId="77777777" w:rsidR="000C38FE" w:rsidRPr="007B4F00" w:rsidRDefault="000C38FE" w:rsidP="000C38FE">
            <w:pPr>
              <w:widowControl/>
              <w:rPr>
                <w:rFonts w:ascii="Times New Roman" w:hAnsi="Times New Roman" w:cs="Times New Roman"/>
              </w:rPr>
            </w:pPr>
          </w:p>
        </w:tc>
      </w:tr>
      <w:tr w:rsidR="000C38FE" w:rsidRPr="000C38FE" w14:paraId="4E95531E" w14:textId="77777777" w:rsidTr="003B2A05">
        <w:tc>
          <w:tcPr>
            <w:tcW w:w="6467" w:type="dxa"/>
          </w:tcPr>
          <w:p w14:paraId="61D2D6FC" w14:textId="77777777" w:rsidR="000C38FE" w:rsidRPr="007B4F00" w:rsidRDefault="000C38FE" w:rsidP="000C38FE">
            <w:pPr>
              <w:widowControl/>
              <w:rPr>
                <w:rFonts w:ascii="Times New Roman" w:hAnsi="Times New Roman" w:cs="Times New Roman"/>
                <w:b/>
              </w:rPr>
            </w:pPr>
            <w:r w:rsidRPr="007B4F00">
              <w:rPr>
                <w:rFonts w:ascii="Times New Roman" w:hAnsi="Times New Roman" w:cs="Times New Roman"/>
                <w:b/>
              </w:rPr>
              <w:t>D.1. Language and Rationality: English Composition</w:t>
            </w:r>
            <w:r w:rsidRPr="007B4F00">
              <w:rPr>
                <w:rFonts w:ascii="Times New Roman" w:hAnsi="Times New Roman" w:cs="Times New Roman"/>
              </w:rPr>
              <w:t xml:space="preserve"> </w:t>
            </w:r>
          </w:p>
          <w:p w14:paraId="708E7BFA" w14:textId="77777777" w:rsidR="000C38FE" w:rsidRPr="007B4F00" w:rsidRDefault="000C38FE" w:rsidP="000C38FE">
            <w:pPr>
              <w:widowControl/>
              <w:rPr>
                <w:rFonts w:ascii="Times New Roman" w:hAnsi="Times New Roman" w:cs="Times New Roman"/>
              </w:rPr>
            </w:pPr>
            <w:r w:rsidRPr="007B4F00">
              <w:rPr>
                <w:rFonts w:ascii="Times New Roman" w:hAnsi="Times New Roman" w:cs="Times New Roman"/>
              </w:rPr>
              <w:t>Courses in language and rationality are those which develop for the student the principles and applications of language toward logical thought, clear and precise expression and critical evaluation of communication in whatever symbol system the student uses (Title 5 §55063 (b</w:t>
            </w:r>
            <w:proofErr w:type="gramStart"/>
            <w:r w:rsidRPr="007B4F00">
              <w:rPr>
                <w:rFonts w:ascii="Times New Roman" w:hAnsi="Times New Roman" w:cs="Times New Roman"/>
              </w:rPr>
              <w:t>)(</w:t>
            </w:r>
            <w:proofErr w:type="gramEnd"/>
            <w:r w:rsidRPr="007B4F00">
              <w:rPr>
                <w:rFonts w:ascii="Times New Roman" w:hAnsi="Times New Roman" w:cs="Times New Roman"/>
              </w:rPr>
              <w:t>1)(D)). Such courses shall include both expository and argumentative writing.</w:t>
            </w:r>
          </w:p>
        </w:tc>
        <w:tc>
          <w:tcPr>
            <w:tcW w:w="3370" w:type="dxa"/>
          </w:tcPr>
          <w:p w14:paraId="25371E62" w14:textId="77777777" w:rsidR="000C38FE" w:rsidRPr="007B4F00" w:rsidRDefault="000C38FE" w:rsidP="000C38FE">
            <w:pPr>
              <w:widowControl/>
              <w:rPr>
                <w:rFonts w:ascii="Times New Roman" w:hAnsi="Times New Roman" w:cs="Times New Roman"/>
              </w:rPr>
            </w:pPr>
          </w:p>
        </w:tc>
      </w:tr>
      <w:tr w:rsidR="000C38FE" w:rsidRPr="000C38FE" w14:paraId="5D4CBF78" w14:textId="77777777" w:rsidTr="003B2A05">
        <w:tc>
          <w:tcPr>
            <w:tcW w:w="6467" w:type="dxa"/>
          </w:tcPr>
          <w:p w14:paraId="51A2849B" w14:textId="77777777" w:rsidR="000C38FE" w:rsidRPr="007B4F00" w:rsidRDefault="000C38FE" w:rsidP="000C38FE">
            <w:pPr>
              <w:widowControl/>
              <w:rPr>
                <w:rFonts w:ascii="Times New Roman" w:hAnsi="Times New Roman" w:cs="Times New Roman"/>
                <w:b/>
              </w:rPr>
            </w:pPr>
            <w:r w:rsidRPr="007B4F00">
              <w:rPr>
                <w:rFonts w:ascii="Times New Roman" w:hAnsi="Times New Roman" w:cs="Times New Roman"/>
                <w:b/>
              </w:rPr>
              <w:t>D.2. Language and Rationality: Communication and Analytical Thinking</w:t>
            </w:r>
            <w:r w:rsidRPr="007B4F00">
              <w:rPr>
                <w:rFonts w:ascii="Times New Roman" w:hAnsi="Times New Roman" w:cs="Times New Roman"/>
              </w:rPr>
              <w:t xml:space="preserve"> </w:t>
            </w:r>
          </w:p>
          <w:p w14:paraId="62C61EED" w14:textId="77777777" w:rsidR="000C38FE" w:rsidRPr="007B4F00" w:rsidRDefault="000C38FE" w:rsidP="000C38FE">
            <w:pPr>
              <w:widowControl/>
              <w:rPr>
                <w:rFonts w:ascii="Times New Roman" w:hAnsi="Times New Roman" w:cs="Times New Roman"/>
              </w:rPr>
            </w:pPr>
            <w:r w:rsidRPr="007B4F00">
              <w:rPr>
                <w:rFonts w:ascii="Times New Roman" w:hAnsi="Times New Roman" w:cs="Times New Roman"/>
              </w:rPr>
              <w:t>Courses in language and rationality are those which develop for the student the principles and applications of language toward logical thought, clear and precise expression and critical evaluation of communication in whatever symbol system the student uses (Title 5 §55063 (b</w:t>
            </w:r>
            <w:proofErr w:type="gramStart"/>
            <w:r w:rsidRPr="007B4F00">
              <w:rPr>
                <w:rFonts w:ascii="Times New Roman" w:hAnsi="Times New Roman" w:cs="Times New Roman"/>
              </w:rPr>
              <w:t>)(</w:t>
            </w:r>
            <w:proofErr w:type="gramEnd"/>
            <w:r w:rsidRPr="007B4F00">
              <w:rPr>
                <w:rFonts w:ascii="Times New Roman" w:hAnsi="Times New Roman" w:cs="Times New Roman"/>
              </w:rPr>
              <w:t>1)(D)). Such courses shall include Intermediate Algebra or another mathematics course at the same level, with the same rigor and with Elementary Algebra as a prerequisite.</w:t>
            </w:r>
          </w:p>
        </w:tc>
        <w:tc>
          <w:tcPr>
            <w:tcW w:w="3370" w:type="dxa"/>
          </w:tcPr>
          <w:p w14:paraId="659D4429" w14:textId="77777777" w:rsidR="000C38FE" w:rsidRPr="007B4F00" w:rsidRDefault="000C38FE" w:rsidP="000C38FE">
            <w:pPr>
              <w:widowControl/>
              <w:rPr>
                <w:rFonts w:ascii="Times New Roman" w:hAnsi="Times New Roman" w:cs="Times New Roman"/>
              </w:rPr>
            </w:pPr>
          </w:p>
        </w:tc>
      </w:tr>
    </w:tbl>
    <w:p w14:paraId="645A51FB" w14:textId="77777777" w:rsidR="000C38FE" w:rsidRPr="000C38FE" w:rsidRDefault="000C38FE" w:rsidP="000C38FE">
      <w:pPr>
        <w:widowControl/>
      </w:pPr>
    </w:p>
    <w:p w14:paraId="39DD22A9" w14:textId="77777777" w:rsidR="000F3B89" w:rsidRDefault="000F3B89" w:rsidP="007B4F00">
      <w:pPr>
        <w:widowControl/>
      </w:pPr>
    </w:p>
    <w:p w14:paraId="39DD22AA" w14:textId="77777777" w:rsidR="000F3B89" w:rsidRDefault="000F3B89" w:rsidP="000F3B89">
      <w:pPr>
        <w:pBdr>
          <w:bottom w:val="single" w:sz="12" w:space="1" w:color="auto"/>
        </w:pBdr>
      </w:pPr>
    </w:p>
    <w:p w14:paraId="39DD22AB" w14:textId="77777777" w:rsidR="000F3B89" w:rsidRPr="00617F2F" w:rsidRDefault="000F3B89" w:rsidP="000F3B89">
      <w:pPr>
        <w:shd w:val="clear" w:color="auto" w:fill="E6E6E6"/>
        <w:rPr>
          <w:sz w:val="20"/>
        </w:rPr>
      </w:pPr>
    </w:p>
    <w:p w14:paraId="39DD22AC" w14:textId="77777777" w:rsidR="000F3B89" w:rsidRPr="003A3F2F" w:rsidRDefault="000F3B89" w:rsidP="000F3B89">
      <w:pPr>
        <w:shd w:val="clear" w:color="auto" w:fill="E6E6E6"/>
        <w:rPr>
          <w:b/>
        </w:rPr>
      </w:pPr>
      <w:r>
        <w:rPr>
          <w:b/>
        </w:rPr>
        <w:t xml:space="preserve">ACTION OF THE </w:t>
      </w:r>
      <w:smartTag w:uri="urn:schemas-microsoft-com:office:smarttags" w:element="place">
        <w:smartTag w:uri="urn:schemas-microsoft-com:office:smarttags" w:element="PlaceName">
          <w:r>
            <w:rPr>
              <w:b/>
            </w:rPr>
            <w:t>REEDLEY</w:t>
          </w:r>
        </w:smartTag>
        <w:r>
          <w:rPr>
            <w:b/>
          </w:rPr>
          <w:t xml:space="preserve"> </w:t>
        </w:r>
        <w:smartTag w:uri="urn:schemas-microsoft-com:office:smarttags" w:element="PlaceType">
          <w:r>
            <w:rPr>
              <w:b/>
            </w:rPr>
            <w:t>COLLEGE</w:t>
          </w:r>
        </w:smartTag>
      </w:smartTag>
      <w:r>
        <w:rPr>
          <w:b/>
        </w:rPr>
        <w:t xml:space="preserve"> ACADEMIC SENATE COMMITTEE ON EQUIVALENCY</w:t>
      </w:r>
    </w:p>
    <w:p w14:paraId="39DD22AD" w14:textId="77777777" w:rsidR="000F3B89" w:rsidRPr="00617F2F" w:rsidRDefault="000F3B89" w:rsidP="000F3B89">
      <w:pPr>
        <w:shd w:val="clear" w:color="auto" w:fill="E6E6E6"/>
        <w:rPr>
          <w:sz w:val="20"/>
        </w:rPr>
      </w:pPr>
    </w:p>
    <w:p w14:paraId="39DD22AE" w14:textId="77777777" w:rsidR="000F3B89" w:rsidRPr="00617F2F" w:rsidRDefault="000F3B89" w:rsidP="000F3B89">
      <w:pPr>
        <w:shd w:val="clear" w:color="auto" w:fill="E6E6E6"/>
        <w:rPr>
          <w:u w:val="single"/>
        </w:rPr>
      </w:pPr>
      <w:r>
        <w:t xml:space="preserve">The Department Policy is: </w:t>
      </w:r>
      <w:r>
        <w:tab/>
      </w:r>
      <w:r>
        <w:tab/>
        <w:t xml:space="preserve">approved: </w:t>
      </w:r>
      <w:r>
        <w:rPr>
          <w:u w:val="single"/>
        </w:rPr>
        <w:tab/>
      </w:r>
      <w:r>
        <w:rPr>
          <w:u w:val="single"/>
        </w:rPr>
        <w:tab/>
      </w:r>
      <w:r>
        <w:tab/>
        <w:t xml:space="preserve">denied: </w:t>
      </w:r>
      <w:r>
        <w:rPr>
          <w:u w:val="single"/>
        </w:rPr>
        <w:tab/>
      </w:r>
      <w:r>
        <w:rPr>
          <w:u w:val="single"/>
        </w:rPr>
        <w:tab/>
      </w:r>
    </w:p>
    <w:p w14:paraId="39DD22AF" w14:textId="77777777" w:rsidR="000F3B89" w:rsidRPr="00617F2F" w:rsidRDefault="000F3B89" w:rsidP="000F3B89">
      <w:pPr>
        <w:shd w:val="clear" w:color="auto" w:fill="E6E6E6"/>
        <w:rPr>
          <w:sz w:val="20"/>
        </w:rPr>
      </w:pPr>
    </w:p>
    <w:p w14:paraId="39DD22B0" w14:textId="77777777" w:rsidR="000F3B89" w:rsidRPr="00617F2F" w:rsidRDefault="000F3B89" w:rsidP="000F3B89">
      <w:pPr>
        <w:shd w:val="clear" w:color="auto" w:fill="E6E6E6"/>
        <w:rPr>
          <w:u w:val="single"/>
        </w:rPr>
      </w:pPr>
      <w:r>
        <w:t xml:space="preserve">Signature of Equivalency Committee Chair </w:t>
      </w:r>
      <w:r w:rsidRPr="00617F2F">
        <w:rPr>
          <w:i/>
          <w:sz w:val="20"/>
        </w:rPr>
        <w:t>(or designee)</w:t>
      </w:r>
      <w:r>
        <w:t xml:space="preserve">: </w:t>
      </w:r>
      <w:r>
        <w:rPr>
          <w:u w:val="single"/>
        </w:rPr>
        <w:tab/>
      </w:r>
      <w:r>
        <w:rPr>
          <w:u w:val="single"/>
        </w:rPr>
        <w:tab/>
      </w:r>
      <w:r>
        <w:rPr>
          <w:u w:val="single"/>
        </w:rPr>
        <w:tab/>
      </w:r>
      <w:r>
        <w:rPr>
          <w:u w:val="single"/>
        </w:rPr>
        <w:tab/>
      </w:r>
      <w:r>
        <w:rPr>
          <w:u w:val="single"/>
        </w:rPr>
        <w:tab/>
      </w:r>
    </w:p>
    <w:p w14:paraId="39DD22B1" w14:textId="77777777" w:rsidR="000F3B89" w:rsidRPr="00617F2F" w:rsidRDefault="000F3B89" w:rsidP="000F3B89">
      <w:pPr>
        <w:shd w:val="clear" w:color="auto" w:fill="E6E6E6"/>
        <w:rPr>
          <w:sz w:val="20"/>
        </w:rPr>
      </w:pPr>
    </w:p>
    <w:p w14:paraId="39DD22B2" w14:textId="77777777" w:rsidR="000F3B89" w:rsidRPr="00617F2F" w:rsidRDefault="000F3B89" w:rsidP="000F3B89">
      <w:pPr>
        <w:shd w:val="clear" w:color="auto" w:fill="E6E6E6"/>
        <w:rPr>
          <w:u w:val="single"/>
        </w:rPr>
      </w:pPr>
      <w:r>
        <w:t xml:space="preserve">Date: </w:t>
      </w:r>
      <w:r>
        <w:rPr>
          <w:u w:val="single"/>
        </w:rPr>
        <w:tab/>
      </w:r>
      <w:r>
        <w:rPr>
          <w:u w:val="single"/>
        </w:rPr>
        <w:tab/>
      </w:r>
      <w:r>
        <w:rPr>
          <w:u w:val="single"/>
        </w:rPr>
        <w:tab/>
      </w:r>
      <w:r>
        <w:rPr>
          <w:u w:val="single"/>
        </w:rPr>
        <w:tab/>
      </w:r>
    </w:p>
    <w:p w14:paraId="39DD22B3" w14:textId="77777777" w:rsidR="000F3B89" w:rsidRDefault="000F3B89" w:rsidP="000F3B89">
      <w:pPr>
        <w:shd w:val="clear" w:color="auto" w:fill="E6E6E6"/>
        <w:rPr>
          <w:sz w:val="20"/>
        </w:rPr>
      </w:pPr>
    </w:p>
    <w:p w14:paraId="39DD22B4" w14:textId="77777777" w:rsidR="000F3B89" w:rsidRDefault="000F3B89" w:rsidP="000F3B89">
      <w:pPr>
        <w:shd w:val="clear" w:color="auto" w:fill="E6E6E6"/>
        <w:rPr>
          <w:u w:val="single"/>
        </w:rPr>
      </w:pPr>
      <w:r w:rsidRPr="00617F2F">
        <w:t>Comments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DD22B5" w14:textId="77777777" w:rsidR="000F3B89" w:rsidRPr="00617F2F" w:rsidRDefault="000F3B89" w:rsidP="000F3B89">
      <w:pPr>
        <w:shd w:val="clear" w:color="auto" w:fill="E6E6E6"/>
        <w:rPr>
          <w:sz w:val="20"/>
          <w:u w:val="single"/>
        </w:rPr>
      </w:pPr>
    </w:p>
    <w:p w14:paraId="39DD22B6" w14:textId="77777777" w:rsidR="000F3B89" w:rsidRPr="00617F2F" w:rsidRDefault="000F3B89" w:rsidP="000F3B89">
      <w:pPr>
        <w:shd w:val="clear" w:color="auto" w:fill="E6E6E6"/>
        <w:rPr>
          <w:sz w:val="20"/>
          <w:u w:val="single"/>
        </w:rPr>
      </w:pP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p>
    <w:p w14:paraId="39DD22B7" w14:textId="77777777" w:rsidR="000F3B89" w:rsidRPr="00617F2F" w:rsidRDefault="000F3B89" w:rsidP="000F3B89">
      <w:pPr>
        <w:shd w:val="clear" w:color="auto" w:fill="E6E6E6"/>
        <w:rPr>
          <w:sz w:val="20"/>
          <w:u w:val="single"/>
        </w:rPr>
      </w:pPr>
    </w:p>
    <w:p w14:paraId="39DD22B8" w14:textId="77777777" w:rsidR="000F3B89" w:rsidRPr="00617F2F" w:rsidRDefault="000F3B89" w:rsidP="000F3B89">
      <w:pPr>
        <w:shd w:val="clear" w:color="auto" w:fill="E6E6E6"/>
        <w:rPr>
          <w:sz w:val="20"/>
          <w:u w:val="single"/>
        </w:rPr>
      </w:pP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p>
    <w:p w14:paraId="39DD22B9" w14:textId="77777777" w:rsidR="000F3B89" w:rsidRPr="00617F2F" w:rsidRDefault="000F3B89" w:rsidP="000F3B89">
      <w:pPr>
        <w:shd w:val="clear" w:color="auto" w:fill="E6E6E6"/>
        <w:rPr>
          <w:sz w:val="20"/>
          <w:u w:val="single"/>
        </w:rPr>
      </w:pPr>
    </w:p>
    <w:p w14:paraId="39DD22BA" w14:textId="77777777" w:rsidR="000F3B89" w:rsidRDefault="000F3B89" w:rsidP="007C04BC">
      <w:pPr>
        <w:shd w:val="clear" w:color="auto" w:fill="E6E6E6"/>
      </w:pP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r w:rsidRPr="00617F2F">
        <w:rPr>
          <w:sz w:val="20"/>
          <w:u w:val="single"/>
        </w:rPr>
        <w:tab/>
      </w:r>
    </w:p>
    <w:sectPr w:rsidR="000F3B89" w:rsidSect="00D53B58">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D22BD" w14:textId="77777777" w:rsidR="009E461A" w:rsidRDefault="009E461A">
      <w:r>
        <w:separator/>
      </w:r>
    </w:p>
  </w:endnote>
  <w:endnote w:type="continuationSeparator" w:id="0">
    <w:p w14:paraId="39DD22BE" w14:textId="77777777" w:rsidR="009E461A" w:rsidRDefault="009E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7C31" w14:textId="77777777" w:rsidR="00FD010A" w:rsidRDefault="00FD0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D22C2" w14:textId="5FE7D516" w:rsidR="008F4661" w:rsidRPr="00335AD7" w:rsidRDefault="008F4661" w:rsidP="008F4661">
    <w:pPr>
      <w:pStyle w:val="Footer"/>
      <w:rPr>
        <w:sz w:val="20"/>
      </w:rPr>
    </w:pPr>
    <w:r>
      <w:rPr>
        <w:sz w:val="20"/>
      </w:rPr>
      <w:t>APPROVED BY EQUIVALENCY COMMITTEE</w:t>
    </w:r>
    <w:r w:rsidR="00870636">
      <w:rPr>
        <w:sz w:val="20"/>
      </w:rPr>
      <w:t>9/20/19</w:t>
    </w:r>
    <w:r>
      <w:rPr>
        <w:sz w:val="20"/>
      </w:rPr>
      <w:t>; RCAS</w:t>
    </w:r>
    <w:r w:rsidR="007B4F00">
      <w:rPr>
        <w:sz w:val="20"/>
      </w:rPr>
      <w:t xml:space="preserve"> </w:t>
    </w:r>
    <w:r w:rsidR="00870636">
      <w:rPr>
        <w:sz w:val="20"/>
      </w:rPr>
      <w:t>10/22/19</w:t>
    </w:r>
    <w:r>
      <w:rPr>
        <w:sz w:val="20"/>
      </w:rPr>
      <w:t xml:space="preserve">; College Council </w:t>
    </w:r>
    <w:r w:rsidR="007B4F00">
      <w:rPr>
        <w:sz w:val="20"/>
      </w:rPr>
      <w:t>11</w:t>
    </w:r>
    <w:r w:rsidR="00C9463A">
      <w:rPr>
        <w:sz w:val="20"/>
      </w:rPr>
      <w:t>/</w:t>
    </w:r>
    <w:r w:rsidR="007B4F00">
      <w:rPr>
        <w:sz w:val="20"/>
      </w:rPr>
      <w:t>6</w:t>
    </w:r>
    <w:r w:rsidR="00C9463A">
      <w:rPr>
        <w:sz w:val="20"/>
      </w:rPr>
      <w:t>/</w:t>
    </w:r>
    <w:bookmarkStart w:id="3" w:name="_GoBack"/>
    <w:bookmarkEnd w:id="3"/>
    <w:r w:rsidR="007B4F00">
      <w:rPr>
        <w:sz w:val="20"/>
      </w:rPr>
      <w:t>19</w:t>
    </w:r>
    <w:r w:rsidR="00FD010A">
      <w:rPr>
        <w:sz w:val="20"/>
      </w:rPr>
      <w:t>.</w:t>
    </w:r>
  </w:p>
  <w:p w14:paraId="39DD22C3" w14:textId="77777777" w:rsidR="00080DBD" w:rsidRPr="0036220D" w:rsidRDefault="00080DBD" w:rsidP="0036220D">
    <w:pPr>
      <w:pStyle w:val="Footer"/>
      <w:rPr>
        <w:sz w:val="20"/>
      </w:rPr>
    </w:pPr>
  </w:p>
  <w:p w14:paraId="39DD22C4" w14:textId="77777777" w:rsidR="002B066A" w:rsidRDefault="002B066A">
    <w:pPr>
      <w:rPr>
        <w:sz w:val="16"/>
      </w:rPr>
    </w:pPr>
  </w:p>
  <w:p w14:paraId="39DD22C5" w14:textId="77777777" w:rsidR="002B066A" w:rsidRDefault="002B0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3424" w14:textId="77777777" w:rsidR="00FD010A" w:rsidRDefault="00FD0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D22BB" w14:textId="77777777" w:rsidR="009E461A" w:rsidRDefault="009E461A">
      <w:r>
        <w:separator/>
      </w:r>
    </w:p>
  </w:footnote>
  <w:footnote w:type="continuationSeparator" w:id="0">
    <w:p w14:paraId="39DD22BC" w14:textId="77777777" w:rsidR="009E461A" w:rsidRDefault="009E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7E61A" w14:textId="77777777" w:rsidR="00FD010A" w:rsidRDefault="00FD0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7B636" w14:textId="77777777" w:rsidR="00FD010A" w:rsidRDefault="00FD0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A8525" w14:textId="77777777" w:rsidR="00FD010A" w:rsidRDefault="00FD0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lowerLetter"/>
      <w:pStyle w:val="level10"/>
      <w:lvlText w:val="%1."/>
      <w:lvlJc w:val="left"/>
      <w:pPr>
        <w:tabs>
          <w:tab w:val="num" w:pos="1080"/>
        </w:tabs>
        <w:ind w:left="1080" w:hanging="360"/>
      </w:pPr>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21ED3375"/>
    <w:multiLevelType w:val="hybridMultilevel"/>
    <w:tmpl w:val="F4AC25CE"/>
    <w:lvl w:ilvl="0" w:tplc="D0D8A9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8AE1D68"/>
    <w:multiLevelType w:val="hybridMultilevel"/>
    <w:tmpl w:val="3DA69340"/>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A323243"/>
    <w:multiLevelType w:val="hybridMultilevel"/>
    <w:tmpl w:val="C6D8F7B4"/>
    <w:lvl w:ilvl="0" w:tplc="58F2CE6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0"/>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4"/>
  </w:num>
  <w:num w:numId="5">
    <w:abstractNumId w:val="3"/>
  </w:num>
  <w:num w:numId="6">
    <w:abstractNumId w:val="0"/>
    <w:lvlOverride w:ilvl="0">
      <w:lvl w:ilvl="0">
        <w:start w:val="1"/>
        <w:numFmt w:val="decimal"/>
        <w:pStyle w:val="Level1"/>
        <w:lvlText w:val="%1."/>
        <w:lvlJc w:val="left"/>
        <w:pPr>
          <w:ind w:left="0" w:firstLine="0"/>
        </w:pPr>
        <w:rPr>
          <w:rFonts w:ascii="Arial" w:hAnsi="Arial" w:cs="Arial"/>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6B"/>
    <w:rsid w:val="000101CE"/>
    <w:rsid w:val="00062C1F"/>
    <w:rsid w:val="00080DBD"/>
    <w:rsid w:val="00084621"/>
    <w:rsid w:val="000C38FE"/>
    <w:rsid w:val="000E6527"/>
    <w:rsid w:val="000F3B89"/>
    <w:rsid w:val="0012644A"/>
    <w:rsid w:val="0015396B"/>
    <w:rsid w:val="001559A2"/>
    <w:rsid w:val="00177BBC"/>
    <w:rsid w:val="0019780E"/>
    <w:rsid w:val="001C439C"/>
    <w:rsid w:val="001C5AB9"/>
    <w:rsid w:val="001E7BCD"/>
    <w:rsid w:val="0022787D"/>
    <w:rsid w:val="002A28F9"/>
    <w:rsid w:val="002B066A"/>
    <w:rsid w:val="002F4B58"/>
    <w:rsid w:val="00320F0C"/>
    <w:rsid w:val="00347AD9"/>
    <w:rsid w:val="0036220D"/>
    <w:rsid w:val="003631B0"/>
    <w:rsid w:val="00370435"/>
    <w:rsid w:val="00380B72"/>
    <w:rsid w:val="003841C6"/>
    <w:rsid w:val="003D4A9C"/>
    <w:rsid w:val="00403941"/>
    <w:rsid w:val="00427017"/>
    <w:rsid w:val="00506A7A"/>
    <w:rsid w:val="00564846"/>
    <w:rsid w:val="00566EBF"/>
    <w:rsid w:val="00571FCF"/>
    <w:rsid w:val="005940A3"/>
    <w:rsid w:val="005942AE"/>
    <w:rsid w:val="00634F0D"/>
    <w:rsid w:val="006B57FB"/>
    <w:rsid w:val="006C540C"/>
    <w:rsid w:val="00743300"/>
    <w:rsid w:val="00775998"/>
    <w:rsid w:val="007A1FD9"/>
    <w:rsid w:val="007B2101"/>
    <w:rsid w:val="007B4F00"/>
    <w:rsid w:val="007B5FFA"/>
    <w:rsid w:val="007C04BC"/>
    <w:rsid w:val="007F09B5"/>
    <w:rsid w:val="00816FFA"/>
    <w:rsid w:val="00826B8E"/>
    <w:rsid w:val="00870636"/>
    <w:rsid w:val="0089685E"/>
    <w:rsid w:val="008D16F4"/>
    <w:rsid w:val="008F3142"/>
    <w:rsid w:val="008F4661"/>
    <w:rsid w:val="00923696"/>
    <w:rsid w:val="00956529"/>
    <w:rsid w:val="0098797B"/>
    <w:rsid w:val="009968F0"/>
    <w:rsid w:val="009E461A"/>
    <w:rsid w:val="00A42C83"/>
    <w:rsid w:val="00A904A5"/>
    <w:rsid w:val="00B00AFC"/>
    <w:rsid w:val="00B37CCE"/>
    <w:rsid w:val="00B52BA0"/>
    <w:rsid w:val="00B5787C"/>
    <w:rsid w:val="00B66584"/>
    <w:rsid w:val="00BC7C2B"/>
    <w:rsid w:val="00BD1C5C"/>
    <w:rsid w:val="00BD7839"/>
    <w:rsid w:val="00BE36F5"/>
    <w:rsid w:val="00C0477A"/>
    <w:rsid w:val="00C5279B"/>
    <w:rsid w:val="00C9463A"/>
    <w:rsid w:val="00CF0387"/>
    <w:rsid w:val="00D53B58"/>
    <w:rsid w:val="00D57B24"/>
    <w:rsid w:val="00D77B7E"/>
    <w:rsid w:val="00D8423B"/>
    <w:rsid w:val="00DC480D"/>
    <w:rsid w:val="00DD17D6"/>
    <w:rsid w:val="00DE520A"/>
    <w:rsid w:val="00E1456E"/>
    <w:rsid w:val="00ED57C3"/>
    <w:rsid w:val="00F161E1"/>
    <w:rsid w:val="00F3692E"/>
    <w:rsid w:val="00F37240"/>
    <w:rsid w:val="00F4489A"/>
    <w:rsid w:val="00F608E5"/>
    <w:rsid w:val="00F82615"/>
    <w:rsid w:val="00FC48EB"/>
    <w:rsid w:val="00FD010A"/>
    <w:rsid w:val="00FD15EC"/>
    <w:rsid w:val="00FD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39DD2230"/>
  <w15:docId w15:val="{3B61E23E-D14F-409B-87F7-69AA9C54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ind w:left="1440"/>
      <w:outlineLvl w:val="0"/>
    </w:pPr>
    <w:rPr>
      <w:i/>
      <w:iCs/>
    </w:rPr>
  </w:style>
  <w:style w:type="paragraph" w:styleId="Heading2">
    <w:name w:val="heading 2"/>
    <w:basedOn w:val="Normal"/>
    <w:next w:val="Normal"/>
    <w:qFormat/>
    <w:pPr>
      <w:keepNext/>
      <w:spacing w:line="360" w:lineRule="auto"/>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bCs/>
    </w:rPr>
  </w:style>
  <w:style w:type="paragraph" w:styleId="Subtitle">
    <w:name w:val="Subtitle"/>
    <w:basedOn w:val="Normal"/>
    <w:qFormat/>
    <w:pPr>
      <w:widowControl/>
      <w:autoSpaceDE w:val="0"/>
      <w:autoSpaceDN w:val="0"/>
      <w:adjustRightInd w:val="0"/>
      <w:jc w:val="center"/>
    </w:pPr>
    <w:rPr>
      <w:b/>
      <w:bCs/>
      <w:snapToGrid/>
      <w:sz w:val="40"/>
      <w:szCs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numPr>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outlineLvl w:val="0"/>
    </w:pPr>
    <w:rPr>
      <w:snapToGrid/>
      <w:sz w:val="20"/>
      <w:szCs w:val="24"/>
    </w:rPr>
  </w:style>
  <w:style w:type="paragraph" w:customStyle="1" w:styleId="level10">
    <w:name w:val="_level1"/>
    <w:basedOn w:val="Normal"/>
    <w:pPr>
      <w:numPr>
        <w:numId w:val="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080" w:hanging="360"/>
      <w:outlineLvl w:val="0"/>
    </w:pPr>
    <w:rPr>
      <w:snapToGrid/>
      <w:sz w:val="20"/>
      <w:szCs w:val="24"/>
    </w:rPr>
  </w:style>
  <w:style w:type="paragraph" w:styleId="BodyText">
    <w:name w:val="Body Text"/>
    <w:basedOn w:val="Normal"/>
    <w:rPr>
      <w:b/>
      <w:bCs/>
    </w:rPr>
  </w:style>
  <w:style w:type="character" w:styleId="Hyperlink">
    <w:name w:val="Hyperlink"/>
    <w:basedOn w:val="DefaultParagraphFont"/>
    <w:rsid w:val="00320F0C"/>
    <w:rPr>
      <w:color w:val="0000FF"/>
      <w:u w:val="single"/>
    </w:rPr>
  </w:style>
  <w:style w:type="paragraph" w:styleId="BalloonText">
    <w:name w:val="Balloon Text"/>
    <w:basedOn w:val="Normal"/>
    <w:link w:val="BalloonTextChar"/>
    <w:rsid w:val="00634F0D"/>
    <w:rPr>
      <w:rFonts w:ascii="Tahoma" w:hAnsi="Tahoma" w:cs="Tahoma"/>
      <w:sz w:val="16"/>
      <w:szCs w:val="16"/>
    </w:rPr>
  </w:style>
  <w:style w:type="character" w:customStyle="1" w:styleId="BalloonTextChar">
    <w:name w:val="Balloon Text Char"/>
    <w:basedOn w:val="DefaultParagraphFont"/>
    <w:link w:val="BalloonText"/>
    <w:rsid w:val="00634F0D"/>
    <w:rPr>
      <w:rFonts w:ascii="Tahoma" w:hAnsi="Tahoma" w:cs="Tahoma"/>
      <w:snapToGrid w:val="0"/>
      <w:sz w:val="16"/>
      <w:szCs w:val="16"/>
    </w:rPr>
  </w:style>
  <w:style w:type="character" w:customStyle="1" w:styleId="FooterChar">
    <w:name w:val="Footer Char"/>
    <w:basedOn w:val="DefaultParagraphFont"/>
    <w:link w:val="Footer"/>
    <w:uiPriority w:val="99"/>
    <w:rsid w:val="0036220D"/>
    <w:rPr>
      <w:snapToGrid w:val="0"/>
      <w:sz w:val="24"/>
    </w:rPr>
  </w:style>
  <w:style w:type="table" w:styleId="TableGrid">
    <w:name w:val="Table Grid"/>
    <w:basedOn w:val="TableNormal"/>
    <w:uiPriority w:val="39"/>
    <w:rsid w:val="000C38FE"/>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629254">
      <w:bodyDiv w:val="1"/>
      <w:marLeft w:val="0"/>
      <w:marRight w:val="0"/>
      <w:marTop w:val="0"/>
      <w:marBottom w:val="0"/>
      <w:divBdr>
        <w:top w:val="none" w:sz="0" w:space="0" w:color="auto"/>
        <w:left w:val="none" w:sz="0" w:space="0" w:color="auto"/>
        <w:bottom w:val="none" w:sz="0" w:space="0" w:color="auto"/>
        <w:right w:val="none" w:sz="0" w:space="0" w:color="auto"/>
      </w:divBdr>
    </w:div>
    <w:div w:id="1074089612">
      <w:bodyDiv w:val="1"/>
      <w:marLeft w:val="0"/>
      <w:marRight w:val="0"/>
      <w:marTop w:val="0"/>
      <w:marBottom w:val="0"/>
      <w:divBdr>
        <w:top w:val="none" w:sz="0" w:space="0" w:color="auto"/>
        <w:left w:val="none" w:sz="0" w:space="0" w:color="auto"/>
        <w:bottom w:val="none" w:sz="0" w:space="0" w:color="auto"/>
        <w:right w:val="none" w:sz="0" w:space="0" w:color="auto"/>
      </w:divBdr>
    </w:div>
    <w:div w:id="1362048706">
      <w:bodyDiv w:val="1"/>
      <w:marLeft w:val="0"/>
      <w:marRight w:val="0"/>
      <w:marTop w:val="0"/>
      <w:marBottom w:val="0"/>
      <w:divBdr>
        <w:top w:val="none" w:sz="0" w:space="0" w:color="auto"/>
        <w:left w:val="none" w:sz="0" w:space="0" w:color="auto"/>
        <w:bottom w:val="none" w:sz="0" w:space="0" w:color="auto"/>
        <w:right w:val="none" w:sz="0" w:space="0" w:color="auto"/>
      </w:divBdr>
    </w:div>
    <w:div w:id="18572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5" ma:contentTypeDescription="Create a new document." ma:contentTypeScope="" ma:versionID="3c86e8018607dbcfff64fff99690396c">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93f9856c77ac0712deae476da91d9abb"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FFF7D-FCCB-402E-BB2B-C82797E8C736}">
  <ds:schemaRefs>
    <ds:schemaRef ds:uri="c866e2bc-6588-4219-9d7e-87fea228c5a7"/>
    <ds:schemaRef ds:uri="http://schemas.microsoft.com/sharepoint/v3"/>
    <ds:schemaRef ds:uri="http://purl.org/dc/dcmitype/"/>
    <ds:schemaRef ds:uri="80ea4110-7a7b-4fa9-9bc8-f33e4df7ef22"/>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A45B01B-59B1-4446-A27B-364176454BEA}">
  <ds:schemaRefs>
    <ds:schemaRef ds:uri="http://schemas.microsoft.com/sharepoint/v3/contenttype/forms"/>
  </ds:schemaRefs>
</ds:datastoreItem>
</file>

<file path=customXml/itemProps3.xml><?xml version="1.0" encoding="utf-8"?>
<ds:datastoreItem xmlns:ds="http://schemas.openxmlformats.org/officeDocument/2006/customXml" ds:itemID="{8A9C5FDB-3D57-4373-8943-25AC4C02B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1253</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REQUEST FOR ENDORSEMENT OF A CANDIDATE FOR A</vt:lpstr>
    </vt:vector>
  </TitlesOfParts>
  <Company>SCCCD</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ENDORSEMENT OF A CANDIDATE FOR A</dc:title>
  <dc:creator>FRESNO CITY COLLEGE</dc:creator>
  <cp:lastModifiedBy>Emily Berg</cp:lastModifiedBy>
  <cp:revision>3</cp:revision>
  <cp:lastPrinted>2015-02-18T21:54:00Z</cp:lastPrinted>
  <dcterms:created xsi:type="dcterms:W3CDTF">2019-11-07T17:53:00Z</dcterms:created>
  <dcterms:modified xsi:type="dcterms:W3CDTF">2019-11-07T17:53:00Z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