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3" w:rsidRPr="000B76E8" w:rsidRDefault="007F6DA8" w:rsidP="007F6DA8">
      <w:pPr>
        <w:jc w:val="center"/>
      </w:pPr>
      <w:bookmarkStart w:id="0" w:name="_GoBack"/>
      <w:bookmarkEnd w:id="0"/>
      <w:r w:rsidRPr="000B76E8">
        <w:t xml:space="preserve">GELO ASSESSMENT </w:t>
      </w:r>
      <w:r w:rsidR="00E013B6" w:rsidRPr="000B76E8">
        <w:t>SUMMARY</w:t>
      </w:r>
      <w:r w:rsidR="002D6D26" w:rsidRPr="000B76E8">
        <w:t>,</w:t>
      </w:r>
      <w:r w:rsidR="00126303" w:rsidRPr="000B76E8">
        <w:t xml:space="preserve"> </w:t>
      </w:r>
      <w:r w:rsidR="006C55CA" w:rsidRPr="000B76E8">
        <w:t>Spring 2012</w:t>
      </w:r>
    </w:p>
    <w:p w:rsidR="00445B9C" w:rsidRPr="000B76E8" w:rsidRDefault="000C0B86" w:rsidP="007F6DA8">
      <w:pPr>
        <w:jc w:val="center"/>
        <w:rPr>
          <w:sz w:val="18"/>
          <w:szCs w:val="18"/>
        </w:rPr>
      </w:pPr>
      <w:r w:rsidRPr="000B76E8">
        <w:rPr>
          <w:sz w:val="18"/>
          <w:szCs w:val="18"/>
        </w:rPr>
        <w:t>(</w:t>
      </w:r>
      <w:r w:rsidR="00E013B6" w:rsidRPr="000B76E8">
        <w:rPr>
          <w:sz w:val="18"/>
          <w:szCs w:val="18"/>
        </w:rPr>
        <w:t xml:space="preserve">The following is based upon </w:t>
      </w:r>
      <w:r w:rsidR="00A65228" w:rsidRPr="000B76E8">
        <w:rPr>
          <w:sz w:val="18"/>
          <w:szCs w:val="18"/>
        </w:rPr>
        <w:t xml:space="preserve">a sampling of </w:t>
      </w:r>
      <w:r w:rsidR="00ED4686" w:rsidRPr="000B76E8">
        <w:rPr>
          <w:sz w:val="18"/>
          <w:szCs w:val="18"/>
        </w:rPr>
        <w:t>the</w:t>
      </w:r>
      <w:r w:rsidRPr="000B76E8">
        <w:rPr>
          <w:sz w:val="18"/>
          <w:szCs w:val="18"/>
        </w:rPr>
        <w:t xml:space="preserve"> </w:t>
      </w:r>
      <w:r w:rsidR="00C0601A" w:rsidRPr="000B76E8">
        <w:rPr>
          <w:sz w:val="18"/>
          <w:szCs w:val="18"/>
        </w:rPr>
        <w:t xml:space="preserve">Course/Program </w:t>
      </w:r>
      <w:r w:rsidRPr="000B76E8">
        <w:rPr>
          <w:sz w:val="18"/>
          <w:szCs w:val="18"/>
        </w:rPr>
        <w:t xml:space="preserve">Assessment Reporting </w:t>
      </w:r>
      <w:r w:rsidR="00C0601A" w:rsidRPr="000B76E8">
        <w:rPr>
          <w:sz w:val="18"/>
          <w:szCs w:val="18"/>
        </w:rPr>
        <w:t>forms.</w:t>
      </w:r>
    </w:p>
    <w:p w:rsidR="00E013B6" w:rsidRPr="000B76E8" w:rsidRDefault="00485E33" w:rsidP="007F6DA8">
      <w:pPr>
        <w:jc w:val="center"/>
        <w:rPr>
          <w:sz w:val="18"/>
          <w:szCs w:val="18"/>
        </w:rPr>
      </w:pPr>
      <w:r w:rsidRPr="000B76E8">
        <w:rPr>
          <w:sz w:val="18"/>
          <w:szCs w:val="18"/>
        </w:rPr>
        <w:t xml:space="preserve"> It </w:t>
      </w:r>
      <w:r w:rsidR="00445B9C" w:rsidRPr="000B76E8">
        <w:rPr>
          <w:sz w:val="18"/>
          <w:szCs w:val="18"/>
        </w:rPr>
        <w:t>is com</w:t>
      </w:r>
      <w:r w:rsidRPr="000B76E8">
        <w:rPr>
          <w:sz w:val="18"/>
          <w:szCs w:val="18"/>
        </w:rPr>
        <w:t>piled by the SLO Coordinator,</w:t>
      </w:r>
      <w:r w:rsidR="00445B9C" w:rsidRPr="000B76E8">
        <w:rPr>
          <w:sz w:val="18"/>
          <w:szCs w:val="18"/>
        </w:rPr>
        <w:t xml:space="preserve"> reviewed by the Assessment Advisory Committee</w:t>
      </w:r>
      <w:r w:rsidRPr="000B76E8">
        <w:rPr>
          <w:sz w:val="18"/>
          <w:szCs w:val="18"/>
        </w:rPr>
        <w:t>, and presented to the College President and College Council.</w:t>
      </w:r>
      <w:r w:rsidR="000C0B86" w:rsidRPr="000B76E8">
        <w:rPr>
          <w:sz w:val="18"/>
          <w:szCs w:val="18"/>
        </w:rPr>
        <w:t>)</w:t>
      </w:r>
    </w:p>
    <w:p w:rsidR="00485E33" w:rsidRPr="000B76E8" w:rsidRDefault="00485E33" w:rsidP="007F6DA8">
      <w:pPr>
        <w:jc w:val="center"/>
        <w:rPr>
          <w:sz w:val="18"/>
          <w:szCs w:val="18"/>
        </w:rPr>
      </w:pPr>
    </w:p>
    <w:p w:rsidR="00485E33" w:rsidRPr="000B76E8" w:rsidRDefault="00485E33" w:rsidP="007F6DA8">
      <w:pPr>
        <w:jc w:val="center"/>
        <w:rPr>
          <w:sz w:val="18"/>
          <w:szCs w:val="18"/>
        </w:rPr>
      </w:pPr>
    </w:p>
    <w:p w:rsidR="00024CCD" w:rsidRPr="000B76E8" w:rsidRDefault="00024CCD" w:rsidP="00024CCD">
      <w:pPr>
        <w:pStyle w:val="ListParagraph"/>
        <w:numPr>
          <w:ilvl w:val="0"/>
          <w:numId w:val="11"/>
        </w:numPr>
        <w:jc w:val="center"/>
        <w:rPr>
          <w:b/>
          <w:i/>
        </w:rPr>
      </w:pPr>
      <w:r w:rsidRPr="000B76E8">
        <w:rPr>
          <w:b/>
          <w:i/>
        </w:rPr>
        <w:t>Global and Community Literacy</w:t>
      </w:r>
    </w:p>
    <w:p w:rsidR="00024CCD" w:rsidRPr="000B76E8" w:rsidRDefault="00024CCD" w:rsidP="00ED4686">
      <w:pPr>
        <w:pStyle w:val="ListParagraph"/>
        <w:numPr>
          <w:ilvl w:val="1"/>
          <w:numId w:val="11"/>
        </w:numPr>
        <w:ind w:left="2520"/>
      </w:pPr>
      <w:r w:rsidRPr="000B76E8">
        <w:t>(6) Analyze the fine arts, humanities, and social sciences from cultural, historic, and aesthetic perspectives.</w:t>
      </w:r>
    </w:p>
    <w:p w:rsidR="00024CCD" w:rsidRPr="000B76E8" w:rsidRDefault="00024CCD" w:rsidP="00ED4686">
      <w:pPr>
        <w:pStyle w:val="ListParagraph"/>
        <w:numPr>
          <w:ilvl w:val="1"/>
          <w:numId w:val="11"/>
        </w:numPr>
        <w:ind w:left="2520"/>
      </w:pPr>
      <w:r w:rsidRPr="000B76E8">
        <w:t>(7)  Apply historical and contemporary issues and events to civic and social responsibility.</w:t>
      </w:r>
    </w:p>
    <w:p w:rsidR="00024CCD" w:rsidRPr="000B76E8" w:rsidRDefault="00024CCD" w:rsidP="00024CCD">
      <w:pPr>
        <w:ind w:left="2160"/>
      </w:pPr>
      <w:r w:rsidRPr="000B76E8">
        <w:t>3.3  (8) Demonstrate sensitive and respectful treatment of a variety of ethnic, religious, and socioeconomic backgrounds.</w:t>
      </w:r>
    </w:p>
    <w:p w:rsidR="007F6DA8" w:rsidRPr="000B76E8" w:rsidRDefault="007F6DA8" w:rsidP="00485E33">
      <w:pPr>
        <w:pStyle w:val="ListParagraph"/>
        <w:jc w:val="center"/>
      </w:pPr>
    </w:p>
    <w:tbl>
      <w:tblPr>
        <w:tblStyle w:val="TableGrid"/>
        <w:tblW w:w="5000" w:type="pct"/>
        <w:tblLook w:val="04A0" w:firstRow="1" w:lastRow="0" w:firstColumn="1" w:lastColumn="0" w:noHBand="0" w:noVBand="1"/>
      </w:tblPr>
      <w:tblGrid>
        <w:gridCol w:w="1392"/>
        <w:gridCol w:w="2002"/>
        <w:gridCol w:w="3435"/>
        <w:gridCol w:w="4218"/>
        <w:gridCol w:w="3569"/>
      </w:tblGrid>
      <w:tr w:rsidR="001C62B8" w:rsidRPr="000B76E8" w:rsidTr="00C352F5">
        <w:trPr>
          <w:cantSplit/>
          <w:tblHeader/>
        </w:trPr>
        <w:tc>
          <w:tcPr>
            <w:tcW w:w="476" w:type="pct"/>
            <w:vAlign w:val="center"/>
          </w:tcPr>
          <w:p w:rsidR="00126303" w:rsidRPr="000B76E8" w:rsidRDefault="00126303" w:rsidP="00403268">
            <w:pPr>
              <w:jc w:val="center"/>
              <w:rPr>
                <w:b/>
              </w:rPr>
            </w:pPr>
            <w:r w:rsidRPr="000B76E8">
              <w:rPr>
                <w:b/>
              </w:rPr>
              <w:t>Course or Program</w:t>
            </w:r>
          </w:p>
        </w:tc>
        <w:tc>
          <w:tcPr>
            <w:tcW w:w="685" w:type="pct"/>
            <w:vAlign w:val="center"/>
          </w:tcPr>
          <w:p w:rsidR="00126303" w:rsidRPr="000B76E8" w:rsidRDefault="00126303" w:rsidP="00403268">
            <w:pPr>
              <w:jc w:val="center"/>
              <w:rPr>
                <w:b/>
              </w:rPr>
            </w:pPr>
            <w:r w:rsidRPr="000B76E8">
              <w:rPr>
                <w:b/>
              </w:rPr>
              <w:t xml:space="preserve">GELO </w:t>
            </w:r>
            <w:r w:rsidR="008D2928" w:rsidRPr="000B76E8">
              <w:rPr>
                <w:b/>
              </w:rPr>
              <w:t xml:space="preserve">Area </w:t>
            </w:r>
            <w:r w:rsidRPr="000B76E8">
              <w:rPr>
                <w:b/>
              </w:rPr>
              <w:t>Ad</w:t>
            </w:r>
            <w:r w:rsidR="00E013B6" w:rsidRPr="000B76E8">
              <w:rPr>
                <w:b/>
              </w:rPr>
              <w:t>d</w:t>
            </w:r>
            <w:r w:rsidRPr="000B76E8">
              <w:rPr>
                <w:b/>
              </w:rPr>
              <w:t>resse</w:t>
            </w:r>
            <w:r w:rsidR="00E013B6" w:rsidRPr="000B76E8">
              <w:rPr>
                <w:b/>
              </w:rPr>
              <w:t>d</w:t>
            </w:r>
          </w:p>
        </w:tc>
        <w:tc>
          <w:tcPr>
            <w:tcW w:w="1175" w:type="pct"/>
            <w:vAlign w:val="center"/>
          </w:tcPr>
          <w:p w:rsidR="00126303" w:rsidRPr="000B76E8" w:rsidRDefault="00126303" w:rsidP="00403268">
            <w:pPr>
              <w:jc w:val="center"/>
              <w:rPr>
                <w:b/>
              </w:rPr>
            </w:pPr>
            <w:r w:rsidRPr="000B76E8">
              <w:rPr>
                <w:b/>
              </w:rPr>
              <w:t>Assessment Type</w:t>
            </w:r>
          </w:p>
          <w:p w:rsidR="00126303" w:rsidRPr="000B76E8" w:rsidRDefault="00126303" w:rsidP="00403268">
            <w:pPr>
              <w:jc w:val="center"/>
              <w:rPr>
                <w:b/>
                <w:sz w:val="18"/>
                <w:szCs w:val="18"/>
              </w:rPr>
            </w:pPr>
            <w:r w:rsidRPr="000B76E8">
              <w:rPr>
                <w:b/>
                <w:sz w:val="18"/>
                <w:szCs w:val="18"/>
              </w:rPr>
              <w:t>(direct, indirect, tool(s) used</w:t>
            </w:r>
            <w:r w:rsidR="00E013B6" w:rsidRPr="000B76E8">
              <w:rPr>
                <w:b/>
                <w:sz w:val="18"/>
                <w:szCs w:val="18"/>
              </w:rPr>
              <w:t>, etc.</w:t>
            </w:r>
            <w:r w:rsidRPr="000B76E8">
              <w:rPr>
                <w:b/>
                <w:sz w:val="18"/>
                <w:szCs w:val="18"/>
              </w:rPr>
              <w:t>)</w:t>
            </w:r>
          </w:p>
        </w:tc>
        <w:tc>
          <w:tcPr>
            <w:tcW w:w="1443" w:type="pct"/>
            <w:vAlign w:val="center"/>
          </w:tcPr>
          <w:p w:rsidR="00126303" w:rsidRPr="000B76E8" w:rsidRDefault="00126303" w:rsidP="00403268">
            <w:pPr>
              <w:jc w:val="center"/>
              <w:rPr>
                <w:b/>
              </w:rPr>
            </w:pPr>
            <w:r w:rsidRPr="000B76E8">
              <w:rPr>
                <w:b/>
              </w:rPr>
              <w:t>Assessment Result</w:t>
            </w:r>
          </w:p>
          <w:p w:rsidR="00126303" w:rsidRPr="000B76E8" w:rsidRDefault="00126303" w:rsidP="00403268">
            <w:pPr>
              <w:jc w:val="center"/>
              <w:rPr>
                <w:b/>
                <w:sz w:val="18"/>
                <w:szCs w:val="18"/>
              </w:rPr>
            </w:pPr>
            <w:r w:rsidRPr="000B76E8">
              <w:rPr>
                <w:b/>
                <w:sz w:val="18"/>
                <w:szCs w:val="18"/>
              </w:rPr>
              <w:t>(data, was benchmark met, etc.)</w:t>
            </w:r>
          </w:p>
        </w:tc>
        <w:tc>
          <w:tcPr>
            <w:tcW w:w="1221" w:type="pct"/>
            <w:vAlign w:val="center"/>
          </w:tcPr>
          <w:p w:rsidR="00126303" w:rsidRPr="000B76E8" w:rsidRDefault="00126303" w:rsidP="00403268">
            <w:pPr>
              <w:jc w:val="center"/>
              <w:rPr>
                <w:b/>
              </w:rPr>
            </w:pPr>
            <w:r w:rsidRPr="000B76E8">
              <w:rPr>
                <w:b/>
              </w:rPr>
              <w:t>Assessment Conclusion</w:t>
            </w:r>
          </w:p>
          <w:p w:rsidR="008D2928" w:rsidRPr="000B76E8" w:rsidRDefault="00126303" w:rsidP="00403268">
            <w:pPr>
              <w:jc w:val="center"/>
              <w:rPr>
                <w:b/>
                <w:sz w:val="18"/>
                <w:szCs w:val="18"/>
              </w:rPr>
            </w:pPr>
            <w:r w:rsidRPr="000B76E8">
              <w:rPr>
                <w:b/>
                <w:sz w:val="18"/>
                <w:szCs w:val="18"/>
              </w:rPr>
              <w:t>(changes to the</w:t>
            </w:r>
            <w:r w:rsidR="00E013B6" w:rsidRPr="000B76E8">
              <w:rPr>
                <w:b/>
                <w:sz w:val="18"/>
                <w:szCs w:val="18"/>
              </w:rPr>
              <w:t xml:space="preserve"> </w:t>
            </w:r>
            <w:r w:rsidR="008D2928" w:rsidRPr="000B76E8">
              <w:rPr>
                <w:b/>
                <w:sz w:val="18"/>
                <w:szCs w:val="18"/>
              </w:rPr>
              <w:t>course/ program</w:t>
            </w:r>
          </w:p>
          <w:p w:rsidR="00126303" w:rsidRPr="000B76E8" w:rsidRDefault="00126303" w:rsidP="00403268">
            <w:pPr>
              <w:jc w:val="center"/>
              <w:rPr>
                <w:b/>
              </w:rPr>
            </w:pPr>
            <w:r w:rsidRPr="000B76E8">
              <w:rPr>
                <w:b/>
                <w:sz w:val="18"/>
                <w:szCs w:val="18"/>
              </w:rPr>
              <w:t>due to results,</w:t>
            </w:r>
            <w:r w:rsidR="00E013B6" w:rsidRPr="000B76E8">
              <w:rPr>
                <w:b/>
                <w:sz w:val="18"/>
                <w:szCs w:val="18"/>
              </w:rPr>
              <w:t xml:space="preserve"> </w:t>
            </w:r>
            <w:r w:rsidRPr="000B76E8">
              <w:rPr>
                <w:b/>
                <w:sz w:val="18"/>
                <w:szCs w:val="18"/>
              </w:rPr>
              <w:t>etc</w:t>
            </w:r>
            <w:r w:rsidRPr="000B76E8">
              <w:rPr>
                <w:b/>
              </w:rPr>
              <w:t>.</w:t>
            </w:r>
            <w:r w:rsidR="00E013B6" w:rsidRPr="000B76E8">
              <w:rPr>
                <w:b/>
              </w:rPr>
              <w:t>)</w:t>
            </w:r>
          </w:p>
        </w:tc>
      </w:tr>
      <w:tr w:rsidR="00C352F5" w:rsidRPr="000B76E8" w:rsidTr="00C352F5">
        <w:trPr>
          <w:cantSplit/>
        </w:trPr>
        <w:tc>
          <w:tcPr>
            <w:tcW w:w="476" w:type="pct"/>
          </w:tcPr>
          <w:p w:rsidR="00C352F5" w:rsidRPr="000B76E8" w:rsidRDefault="00C352F5" w:rsidP="00E14806">
            <w:r w:rsidRPr="000B76E8">
              <w:t>Reading  126</w:t>
            </w:r>
          </w:p>
          <w:p w:rsidR="00C352F5" w:rsidRPr="000B76E8" w:rsidRDefault="00C352F5" w:rsidP="00E14806"/>
        </w:tc>
        <w:tc>
          <w:tcPr>
            <w:tcW w:w="685" w:type="pct"/>
          </w:tcPr>
          <w:p w:rsidR="00C352F5" w:rsidRPr="000B76E8" w:rsidRDefault="00C352F5" w:rsidP="00E14806">
            <w:r w:rsidRPr="000B76E8">
              <w:t>3.1 Analyze the fine arts, humanities, and social sciences from cultural, historic, and aesthetic perspectives.</w:t>
            </w:r>
          </w:p>
          <w:p w:rsidR="00C352F5" w:rsidRPr="000B76E8" w:rsidRDefault="00C352F5" w:rsidP="00E14806"/>
          <w:p w:rsidR="00C352F5" w:rsidRPr="000B76E8" w:rsidRDefault="00C352F5" w:rsidP="00E14806">
            <w:r w:rsidRPr="000B76E8">
              <w:t>3.3 Demonstrate sensitive and respectful treatment of a variety of ethnic, religious, and socioeconomic backgrounds.</w:t>
            </w:r>
          </w:p>
          <w:p w:rsidR="00C352F5" w:rsidRPr="000B76E8" w:rsidRDefault="00C352F5" w:rsidP="00E14806"/>
        </w:tc>
        <w:tc>
          <w:tcPr>
            <w:tcW w:w="1175" w:type="pct"/>
          </w:tcPr>
          <w:p w:rsidR="00C352F5" w:rsidRPr="000B76E8" w:rsidRDefault="00C352F5" w:rsidP="00E14806">
            <w:r w:rsidRPr="000B76E8">
              <w:t>Item analysis of exams, quizzes, problem sets, etc.</w:t>
            </w:r>
          </w:p>
          <w:p w:rsidR="00C352F5" w:rsidRPr="000B76E8" w:rsidRDefault="00C352F5" w:rsidP="00E14806"/>
          <w:p w:rsidR="00C352F5" w:rsidRPr="000B76E8" w:rsidRDefault="00C352F5" w:rsidP="00E14806">
            <w:r w:rsidRPr="000B76E8">
              <w:t>Assignments based on rubrics.</w:t>
            </w:r>
          </w:p>
          <w:p w:rsidR="00C352F5" w:rsidRPr="000B76E8" w:rsidRDefault="00C352F5" w:rsidP="00E14806"/>
          <w:p w:rsidR="00C352F5" w:rsidRPr="000B76E8" w:rsidRDefault="00C352F5" w:rsidP="00E14806">
            <w:r w:rsidRPr="000B76E8">
              <w:t>Direct observation of performances, structured practice or drills, “practical exams,” small group work, etc.</w:t>
            </w:r>
          </w:p>
        </w:tc>
        <w:tc>
          <w:tcPr>
            <w:tcW w:w="1443" w:type="pct"/>
          </w:tcPr>
          <w:p w:rsidR="00C352F5" w:rsidRPr="000B76E8" w:rsidRDefault="00C352F5" w:rsidP="00E14806">
            <w:pPr>
              <w:autoSpaceDE w:val="0"/>
              <w:autoSpaceDN w:val="0"/>
              <w:adjustRightInd w:val="0"/>
              <w:rPr>
                <w:rFonts w:cstheme="minorHAnsi"/>
                <w:bCs/>
                <w:szCs w:val="24"/>
              </w:rPr>
            </w:pPr>
            <w:r w:rsidRPr="000B76E8">
              <w:rPr>
                <w:rFonts w:cstheme="minorHAnsi"/>
                <w:bCs/>
                <w:szCs w:val="24"/>
              </w:rPr>
              <w:t>“Seventy percent of students will achieve the expected outcomes with at least seventy percent proficiency.”</w:t>
            </w:r>
          </w:p>
          <w:p w:rsidR="00C352F5" w:rsidRPr="000B76E8" w:rsidRDefault="00C352F5" w:rsidP="00E14806">
            <w:pPr>
              <w:autoSpaceDE w:val="0"/>
              <w:autoSpaceDN w:val="0"/>
              <w:adjustRightInd w:val="0"/>
              <w:rPr>
                <w:rFonts w:cstheme="minorHAnsi"/>
                <w:bCs/>
                <w:szCs w:val="24"/>
              </w:rPr>
            </w:pPr>
          </w:p>
          <w:p w:rsidR="00C352F5" w:rsidRPr="000B76E8" w:rsidRDefault="00C352F5" w:rsidP="00E14806">
            <w:pPr>
              <w:autoSpaceDE w:val="0"/>
              <w:autoSpaceDN w:val="0"/>
              <w:adjustRightInd w:val="0"/>
              <w:rPr>
                <w:rFonts w:cstheme="minorHAnsi"/>
                <w:bCs/>
                <w:szCs w:val="24"/>
              </w:rPr>
            </w:pPr>
            <w:r w:rsidRPr="000B76E8">
              <w:rPr>
                <w:rFonts w:cstheme="minorHAnsi"/>
                <w:bCs/>
                <w:szCs w:val="24"/>
              </w:rPr>
              <w:t xml:space="preserve">“The assessment worked.  The assessment instruments designed by the faculty seemed to assess the anticipated outcomes accurately, and the assessment results confirmed the instructors’ perceptions of student achievement in English 126.  Students generally achieve outcomes satisfactorily when they may rely literally on text; they do not satisfactorily achieve outcomes requiring more advanced cognitive skills, </w:t>
            </w:r>
            <w:r w:rsidRPr="000B76E8">
              <w:rPr>
                <w:rFonts w:cstheme="minorHAnsi"/>
                <w:bCs/>
                <w:i/>
                <w:szCs w:val="24"/>
              </w:rPr>
              <w:t>i.e.</w:t>
            </w:r>
            <w:r w:rsidRPr="000B76E8">
              <w:rPr>
                <w:rFonts w:cstheme="minorHAnsi"/>
                <w:bCs/>
                <w:szCs w:val="24"/>
              </w:rPr>
              <w:t>, when they must draw conclusions and make inferences.”</w:t>
            </w:r>
          </w:p>
          <w:p w:rsidR="00C352F5" w:rsidRPr="000B76E8" w:rsidRDefault="00C352F5" w:rsidP="00E14806"/>
        </w:tc>
        <w:tc>
          <w:tcPr>
            <w:tcW w:w="1221" w:type="pct"/>
          </w:tcPr>
          <w:p w:rsidR="00C352F5" w:rsidRPr="000B76E8" w:rsidRDefault="00C352F5" w:rsidP="00E14806">
            <w:r w:rsidRPr="000B76E8">
              <w:t>Use new or revised teaching method.</w:t>
            </w:r>
          </w:p>
          <w:p w:rsidR="00C352F5" w:rsidRPr="000B76E8" w:rsidRDefault="00C352F5" w:rsidP="00E14806"/>
          <w:p w:rsidR="00C352F5" w:rsidRPr="000B76E8" w:rsidRDefault="00C352F5" w:rsidP="00E14806">
            <w:pPr>
              <w:rPr>
                <w:rFonts w:cstheme="minorHAnsi"/>
                <w:szCs w:val="24"/>
              </w:rPr>
            </w:pPr>
            <w:r w:rsidRPr="000B76E8">
              <w:rPr>
                <w:rFonts w:cstheme="minorHAnsi"/>
                <w:bCs/>
                <w:szCs w:val="24"/>
              </w:rPr>
              <w:t>“Changes in instruction will be proposed, discussed, and planned in the spring 2012 semester and considered for implementation in the fall 2012 semester.”</w:t>
            </w:r>
          </w:p>
          <w:p w:rsidR="00C352F5" w:rsidRPr="000B76E8" w:rsidRDefault="00C352F5" w:rsidP="00E14806"/>
        </w:tc>
      </w:tr>
      <w:tr w:rsidR="001C62B8" w:rsidRPr="000B76E8" w:rsidTr="00C352F5">
        <w:trPr>
          <w:cantSplit/>
          <w:trHeight w:val="335"/>
        </w:trPr>
        <w:tc>
          <w:tcPr>
            <w:tcW w:w="476" w:type="pct"/>
          </w:tcPr>
          <w:p w:rsidR="00485E33" w:rsidRPr="000B76E8" w:rsidRDefault="005D7340" w:rsidP="00403268">
            <w:r w:rsidRPr="000B76E8">
              <w:lastRenderedPageBreak/>
              <w:t>Natural Resources</w:t>
            </w:r>
          </w:p>
          <w:p w:rsidR="005D7340" w:rsidRPr="000B76E8" w:rsidRDefault="005D7340" w:rsidP="00403268">
            <w:r w:rsidRPr="000B76E8">
              <w:t>Program</w:t>
            </w:r>
          </w:p>
        </w:tc>
        <w:tc>
          <w:tcPr>
            <w:tcW w:w="685" w:type="pct"/>
          </w:tcPr>
          <w:p w:rsidR="004D2DDD" w:rsidRPr="000B76E8" w:rsidRDefault="004D2DDD" w:rsidP="004D2DDD">
            <w:r w:rsidRPr="000B76E8">
              <w:t>3.1 Analyze the fine arts, humanities, and social sciences from cultural, historic, and aesthetic perspectives.</w:t>
            </w:r>
          </w:p>
          <w:p w:rsidR="004D2DDD" w:rsidRPr="000B76E8" w:rsidRDefault="004D2DDD" w:rsidP="004D2DDD"/>
          <w:p w:rsidR="004D2DDD" w:rsidRPr="000B76E8" w:rsidRDefault="004D2DDD" w:rsidP="004D2DDD">
            <w:r w:rsidRPr="000B76E8">
              <w:t>3.2 Apply historical and contemporary issues and events to civic and social responsibility.</w:t>
            </w:r>
          </w:p>
          <w:p w:rsidR="004D2DDD" w:rsidRPr="000B76E8" w:rsidRDefault="004D2DDD" w:rsidP="004D2DDD"/>
          <w:p w:rsidR="004D2DDD" w:rsidRPr="000B76E8" w:rsidRDefault="004D2DDD" w:rsidP="004D2DDD">
            <w:r w:rsidRPr="000B76E8">
              <w:t>3.3 Demonstrate sensitive and respectful treatment of a variety of ethnic, religious, and socioeconomic backgrounds.</w:t>
            </w:r>
          </w:p>
          <w:p w:rsidR="00126303" w:rsidRPr="000B76E8" w:rsidRDefault="00126303" w:rsidP="00403268"/>
        </w:tc>
        <w:tc>
          <w:tcPr>
            <w:tcW w:w="1175" w:type="pct"/>
          </w:tcPr>
          <w:p w:rsidR="00126303" w:rsidRPr="000B76E8" w:rsidRDefault="008D2928" w:rsidP="00403268">
            <w:r w:rsidRPr="000B76E8">
              <w:t>Item analysis of exams, quizzes, problem sets, etc.</w:t>
            </w:r>
          </w:p>
          <w:p w:rsidR="00AB5516" w:rsidRPr="000B76E8" w:rsidRDefault="00AB5516" w:rsidP="00403268"/>
          <w:p w:rsidR="005D7340" w:rsidRPr="000B76E8" w:rsidRDefault="005D7340" w:rsidP="00403268">
            <w:r w:rsidRPr="000B76E8">
              <w:t>Assignments based on rubrics.</w:t>
            </w:r>
          </w:p>
          <w:p w:rsidR="00AB5516" w:rsidRPr="000B76E8" w:rsidRDefault="00AB5516" w:rsidP="00403268"/>
          <w:p w:rsidR="008D2928" w:rsidRPr="000B76E8" w:rsidRDefault="008D2928" w:rsidP="00403268">
            <w:r w:rsidRPr="000B76E8">
              <w:t>Direct observation of performances, structured practice or drills, “practical” exams, small group work, etc.</w:t>
            </w:r>
          </w:p>
          <w:p w:rsidR="00AB5516" w:rsidRPr="000B76E8" w:rsidRDefault="00AB5516" w:rsidP="00403268"/>
          <w:p w:rsidR="005D7340" w:rsidRPr="000B76E8" w:rsidRDefault="005D7340" w:rsidP="00403268">
            <w:r w:rsidRPr="000B76E8">
              <w:t>Internal/External data</w:t>
            </w:r>
          </w:p>
        </w:tc>
        <w:tc>
          <w:tcPr>
            <w:tcW w:w="1443" w:type="pct"/>
          </w:tcPr>
          <w:p w:rsidR="00AB5516" w:rsidRPr="000B76E8" w:rsidRDefault="008D2928" w:rsidP="005D7340">
            <w:r w:rsidRPr="000B76E8">
              <w:t xml:space="preserve">70% </w:t>
            </w:r>
            <w:r w:rsidR="005D7340" w:rsidRPr="000B76E8">
              <w:t xml:space="preserve">class achievement.  </w:t>
            </w:r>
          </w:p>
          <w:p w:rsidR="00AB5516" w:rsidRPr="000B76E8" w:rsidRDefault="00AB5516" w:rsidP="005D7340"/>
          <w:p w:rsidR="00126303" w:rsidRPr="000B76E8" w:rsidRDefault="00AB5516" w:rsidP="005D7340">
            <w:r w:rsidRPr="000B76E8">
              <w:t>“</w:t>
            </w:r>
            <w:r w:rsidR="005D7340" w:rsidRPr="000B76E8">
              <w:rPr>
                <w:rFonts w:cs="Arial"/>
                <w:bCs/>
                <w:szCs w:val="24"/>
              </w:rPr>
              <w:t>Assessment was successful. Student success measured appropriately by assessment instruments. Attendance was strongly correlated to success.</w:t>
            </w:r>
            <w:r w:rsidRPr="000B76E8">
              <w:rPr>
                <w:rFonts w:cs="Arial"/>
                <w:bCs/>
                <w:szCs w:val="24"/>
              </w:rPr>
              <w:t>”</w:t>
            </w:r>
          </w:p>
        </w:tc>
        <w:tc>
          <w:tcPr>
            <w:tcW w:w="1221" w:type="pct"/>
          </w:tcPr>
          <w:p w:rsidR="005D7340" w:rsidRPr="000B76E8" w:rsidRDefault="005D7340" w:rsidP="005D7340">
            <w:pPr>
              <w:rPr>
                <w:rFonts w:cs="Arial"/>
                <w:bCs/>
                <w:szCs w:val="24"/>
              </w:rPr>
            </w:pPr>
            <w:r w:rsidRPr="000B76E8">
              <w:rPr>
                <w:rFonts w:cs="Arial"/>
                <w:bCs/>
                <w:szCs w:val="24"/>
              </w:rPr>
              <w:t>Results are positive.</w:t>
            </w:r>
          </w:p>
          <w:p w:rsidR="005D7340" w:rsidRPr="000B76E8" w:rsidRDefault="005D7340" w:rsidP="005D7340">
            <w:pPr>
              <w:rPr>
                <w:rFonts w:cs="Arial"/>
                <w:bCs/>
                <w:szCs w:val="24"/>
              </w:rPr>
            </w:pPr>
            <w:r w:rsidRPr="000B76E8">
              <w:rPr>
                <w:rFonts w:cs="Arial"/>
                <w:bCs/>
                <w:szCs w:val="24"/>
              </w:rPr>
              <w:t>Make changes in staffing plan.</w:t>
            </w:r>
          </w:p>
          <w:p w:rsidR="005D7340" w:rsidRPr="000B76E8" w:rsidRDefault="005D7340" w:rsidP="005D7340">
            <w:pPr>
              <w:rPr>
                <w:rFonts w:cs="Arial"/>
                <w:bCs/>
                <w:szCs w:val="24"/>
              </w:rPr>
            </w:pPr>
          </w:p>
          <w:p w:rsidR="005D7340" w:rsidRPr="000B76E8" w:rsidRDefault="005D7340" w:rsidP="005D7340">
            <w:pPr>
              <w:rPr>
                <w:rFonts w:cs="Arial"/>
                <w:bCs/>
                <w:szCs w:val="24"/>
              </w:rPr>
            </w:pPr>
            <w:r w:rsidRPr="000B76E8">
              <w:rPr>
                <w:rFonts w:cs="Arial"/>
                <w:bCs/>
                <w:szCs w:val="24"/>
              </w:rPr>
              <w:t>“Learning outcomes are appropriately measured, but AGNR would benefit greatly by having 4 full-time faculty to cover our range of courses successfully and further improve student learning.”</w:t>
            </w:r>
          </w:p>
          <w:p w:rsidR="005D7340" w:rsidRPr="000B76E8" w:rsidRDefault="005D7340" w:rsidP="005D7340">
            <w:pPr>
              <w:rPr>
                <w:rFonts w:cs="Arial"/>
                <w:bCs/>
                <w:szCs w:val="24"/>
              </w:rPr>
            </w:pPr>
          </w:p>
          <w:p w:rsidR="005D7340" w:rsidRPr="000B76E8" w:rsidRDefault="005D7340" w:rsidP="005D7340"/>
          <w:p w:rsidR="00126303" w:rsidRPr="000B76E8" w:rsidRDefault="00126303" w:rsidP="00403268"/>
        </w:tc>
      </w:tr>
      <w:tr w:rsidR="001C62B8" w:rsidRPr="000B76E8" w:rsidTr="00C352F5">
        <w:trPr>
          <w:cantSplit/>
        </w:trPr>
        <w:tc>
          <w:tcPr>
            <w:tcW w:w="476" w:type="pct"/>
          </w:tcPr>
          <w:p w:rsidR="00485E33" w:rsidRPr="000B76E8" w:rsidRDefault="00AB5516" w:rsidP="00403268">
            <w:r w:rsidRPr="000B76E8">
              <w:lastRenderedPageBreak/>
              <w:t>Sociology Program</w:t>
            </w:r>
          </w:p>
        </w:tc>
        <w:tc>
          <w:tcPr>
            <w:tcW w:w="685" w:type="pct"/>
          </w:tcPr>
          <w:p w:rsidR="00BB57F8" w:rsidRPr="000B76E8" w:rsidRDefault="00BB57F8" w:rsidP="00BB57F8">
            <w:r w:rsidRPr="000B76E8">
              <w:t>3.1 Analyze the fine arts, humanities, and social sciences from cultural, historic, and aesthetic perspectives.</w:t>
            </w:r>
          </w:p>
          <w:p w:rsidR="00BB57F8" w:rsidRPr="000B76E8" w:rsidRDefault="00BB57F8" w:rsidP="00BB57F8"/>
          <w:p w:rsidR="00BB57F8" w:rsidRPr="000B76E8" w:rsidRDefault="00BB57F8" w:rsidP="00BB57F8">
            <w:r w:rsidRPr="000B76E8">
              <w:t>3.2 Apply historical and contemporary issues and events to civic and social responsibility.</w:t>
            </w:r>
          </w:p>
          <w:p w:rsidR="00BB57F8" w:rsidRPr="000B76E8" w:rsidRDefault="00BB57F8" w:rsidP="00BB57F8"/>
          <w:p w:rsidR="00BB57F8" w:rsidRPr="000B76E8" w:rsidRDefault="00BB57F8" w:rsidP="00BB57F8">
            <w:r w:rsidRPr="000B76E8">
              <w:t>3.3 Demonstrate sensitive and respectful treatment of a variety of ethnic, religious, and socioeconomic backgrounds.</w:t>
            </w:r>
          </w:p>
          <w:p w:rsidR="00126303" w:rsidRPr="000B76E8" w:rsidRDefault="00126303" w:rsidP="00403268"/>
        </w:tc>
        <w:tc>
          <w:tcPr>
            <w:tcW w:w="1175" w:type="pct"/>
          </w:tcPr>
          <w:p w:rsidR="00AB5516" w:rsidRPr="000B76E8" w:rsidRDefault="00AB5516" w:rsidP="00AB5516">
            <w:r w:rsidRPr="000B76E8">
              <w:t>Item analysis of exams, quizzes, problem sets, etc.</w:t>
            </w:r>
          </w:p>
          <w:p w:rsidR="00126303" w:rsidRPr="000B76E8" w:rsidRDefault="00126303" w:rsidP="00403268"/>
        </w:tc>
        <w:tc>
          <w:tcPr>
            <w:tcW w:w="1443" w:type="pct"/>
          </w:tcPr>
          <w:p w:rsidR="00501B01" w:rsidRPr="000B76E8" w:rsidRDefault="00AB5516" w:rsidP="00403268">
            <w:r w:rsidRPr="000B76E8">
              <w:t>70% correct on test questions.</w:t>
            </w:r>
          </w:p>
          <w:p w:rsidR="00AB5516" w:rsidRPr="000B76E8" w:rsidRDefault="00AB5516" w:rsidP="00403268">
            <w:pPr>
              <w:rPr>
                <w:rFonts w:cs="Arial"/>
                <w:bCs/>
                <w:szCs w:val="24"/>
              </w:rPr>
            </w:pPr>
          </w:p>
          <w:p w:rsidR="00AB5516" w:rsidRPr="000B76E8" w:rsidRDefault="00AB5516" w:rsidP="00403268">
            <w:r w:rsidRPr="000B76E8">
              <w:rPr>
                <w:rFonts w:cs="Arial"/>
                <w:bCs/>
                <w:szCs w:val="24"/>
              </w:rPr>
              <w:t xml:space="preserve">“For Soc 1A, spend more time on Symbolic Interaction theory, and for SOC 2 explain majority/minority differences more.  Although the classes were almost all passing.  The smaller classes always did better than the larger LGI classes.”  </w:t>
            </w:r>
          </w:p>
        </w:tc>
        <w:tc>
          <w:tcPr>
            <w:tcW w:w="1221" w:type="pct"/>
          </w:tcPr>
          <w:p w:rsidR="00AB5516" w:rsidRPr="000B76E8" w:rsidRDefault="00AB5516" w:rsidP="00403268">
            <w:pPr>
              <w:rPr>
                <w:rFonts w:cs="Arial"/>
                <w:bCs/>
                <w:szCs w:val="24"/>
              </w:rPr>
            </w:pPr>
            <w:r w:rsidRPr="000B76E8">
              <w:t>Other: “</w:t>
            </w:r>
            <w:r w:rsidRPr="000B76E8">
              <w:rPr>
                <w:rFonts w:cs="Arial"/>
                <w:bCs/>
                <w:szCs w:val="24"/>
              </w:rPr>
              <w:t>Push for smaller classes and get rid of LGI for Sociology.”</w:t>
            </w:r>
          </w:p>
          <w:p w:rsidR="00AB5516" w:rsidRPr="000B76E8" w:rsidRDefault="00AB5516" w:rsidP="00403268">
            <w:pPr>
              <w:rPr>
                <w:rFonts w:cs="Arial"/>
                <w:bCs/>
                <w:szCs w:val="24"/>
              </w:rPr>
            </w:pPr>
          </w:p>
          <w:p w:rsidR="00126303" w:rsidRPr="000B76E8" w:rsidRDefault="00AB5516" w:rsidP="00403268">
            <w:r w:rsidRPr="000B76E8">
              <w:rPr>
                <w:rFonts w:cs="Arial"/>
                <w:bCs/>
                <w:szCs w:val="24"/>
              </w:rPr>
              <w:t xml:space="preserve">“For a few years now I have been trying to get rid of LGI for Sociology, but have been turned down because of the budget.”    </w:t>
            </w:r>
          </w:p>
        </w:tc>
      </w:tr>
      <w:tr w:rsidR="001C62B8" w:rsidRPr="000B76E8" w:rsidTr="00C352F5">
        <w:trPr>
          <w:cantSplit/>
        </w:trPr>
        <w:tc>
          <w:tcPr>
            <w:tcW w:w="476" w:type="pct"/>
          </w:tcPr>
          <w:p w:rsidR="00485E33" w:rsidRPr="000B76E8" w:rsidRDefault="00B652DD" w:rsidP="004D2DDD">
            <w:r w:rsidRPr="000B76E8">
              <w:lastRenderedPageBreak/>
              <w:t>Health Care Interpreter 14</w:t>
            </w:r>
          </w:p>
        </w:tc>
        <w:tc>
          <w:tcPr>
            <w:tcW w:w="685" w:type="pct"/>
          </w:tcPr>
          <w:p w:rsidR="00B652DD" w:rsidRPr="000B76E8" w:rsidRDefault="00B652DD" w:rsidP="00B652DD">
            <w:r w:rsidRPr="000B76E8">
              <w:t>3.3 Demonstrate sensitive and respectful treatment of a variety of ethnic, religious, and socioeconomic backgrounds.</w:t>
            </w:r>
          </w:p>
          <w:p w:rsidR="00126303" w:rsidRPr="000B76E8" w:rsidRDefault="00126303" w:rsidP="004D2DDD"/>
        </w:tc>
        <w:tc>
          <w:tcPr>
            <w:tcW w:w="1175" w:type="pct"/>
          </w:tcPr>
          <w:p w:rsidR="006A7676" w:rsidRPr="000B76E8" w:rsidRDefault="006A7676" w:rsidP="00403268">
            <w:r w:rsidRPr="000B76E8">
              <w:t>Item analysis of exams, quizzes, problem sets, etc.</w:t>
            </w:r>
          </w:p>
          <w:p w:rsidR="00B652DD" w:rsidRPr="000B76E8" w:rsidRDefault="00B652DD" w:rsidP="00403268"/>
          <w:p w:rsidR="006A7676" w:rsidRPr="000B76E8" w:rsidRDefault="006A7676" w:rsidP="00403268">
            <w:r w:rsidRPr="000B76E8">
              <w:t>Assignments based on rubrics</w:t>
            </w:r>
            <w:r w:rsidR="001C62B8" w:rsidRPr="000B76E8">
              <w:t>.</w:t>
            </w:r>
          </w:p>
          <w:p w:rsidR="00B652DD" w:rsidRPr="000B76E8" w:rsidRDefault="00B652DD" w:rsidP="00403268"/>
          <w:p w:rsidR="00B652DD" w:rsidRPr="000B76E8" w:rsidRDefault="00B652DD" w:rsidP="00403268">
            <w:r w:rsidRPr="000B76E8">
              <w:t>Assignments based on checklists.</w:t>
            </w:r>
          </w:p>
          <w:p w:rsidR="00B652DD" w:rsidRPr="000B76E8" w:rsidRDefault="00B652DD" w:rsidP="00403268"/>
          <w:p w:rsidR="00126303" w:rsidRPr="000B76E8" w:rsidRDefault="006A7676" w:rsidP="00403268">
            <w:r w:rsidRPr="000B76E8">
              <w:t>Direct observation of performances, structured practice or drills, “practical” exams, small group work, etc.</w:t>
            </w:r>
          </w:p>
          <w:p w:rsidR="00B652DD" w:rsidRPr="000B76E8" w:rsidRDefault="00B652DD" w:rsidP="00403268"/>
          <w:p w:rsidR="00B652DD" w:rsidRPr="000B76E8" w:rsidRDefault="00B652DD" w:rsidP="00403268">
            <w:r w:rsidRPr="000B76E8">
              <w:t>Student self-assessments.</w:t>
            </w:r>
          </w:p>
          <w:p w:rsidR="00B652DD" w:rsidRPr="000B76E8" w:rsidRDefault="00B652DD" w:rsidP="00403268"/>
          <w:p w:rsidR="00B652DD" w:rsidRPr="000B76E8" w:rsidRDefault="00B652DD" w:rsidP="00403268">
            <w:r w:rsidRPr="000B76E8">
              <w:t>Capstone projects or final summative assessments.</w:t>
            </w:r>
          </w:p>
        </w:tc>
        <w:tc>
          <w:tcPr>
            <w:tcW w:w="1443" w:type="pct"/>
          </w:tcPr>
          <w:p w:rsidR="00126303" w:rsidRPr="000B76E8" w:rsidRDefault="00B652DD" w:rsidP="00403268">
            <w:r w:rsidRPr="000B76E8">
              <w:t>Students will pass at a rate of 70%.</w:t>
            </w:r>
          </w:p>
          <w:p w:rsidR="00B652DD" w:rsidRPr="000B76E8" w:rsidRDefault="00B652DD" w:rsidP="00403268"/>
          <w:p w:rsidR="00B652DD" w:rsidRPr="000B76E8" w:rsidRDefault="00B652DD" w:rsidP="00403268">
            <w:r w:rsidRPr="000B76E8">
              <w:t>Benchmark met.</w:t>
            </w:r>
          </w:p>
        </w:tc>
        <w:tc>
          <w:tcPr>
            <w:tcW w:w="1221" w:type="pct"/>
          </w:tcPr>
          <w:p w:rsidR="001C62B8" w:rsidRPr="000B76E8" w:rsidRDefault="001C62B8" w:rsidP="00403268">
            <w:pPr>
              <w:autoSpaceDE w:val="0"/>
              <w:autoSpaceDN w:val="0"/>
              <w:adjustRightInd w:val="0"/>
            </w:pPr>
            <w:r w:rsidRPr="000B76E8">
              <w:t xml:space="preserve">Results positive—no changes to be made.  </w:t>
            </w:r>
          </w:p>
          <w:p w:rsidR="00B652DD" w:rsidRPr="000B76E8" w:rsidRDefault="00B652DD" w:rsidP="00403268">
            <w:pPr>
              <w:autoSpaceDE w:val="0"/>
              <w:autoSpaceDN w:val="0"/>
              <w:adjustRightInd w:val="0"/>
              <w:rPr>
                <w:rFonts w:cs="Arial"/>
                <w:bCs/>
                <w:szCs w:val="24"/>
              </w:rPr>
            </w:pPr>
          </w:p>
          <w:p w:rsidR="00B652DD" w:rsidRPr="000B76E8" w:rsidRDefault="00B652DD" w:rsidP="00403268">
            <w:pPr>
              <w:autoSpaceDE w:val="0"/>
              <w:autoSpaceDN w:val="0"/>
              <w:adjustRightInd w:val="0"/>
              <w:rPr>
                <w:rFonts w:cs="Arial"/>
                <w:bCs/>
                <w:szCs w:val="24"/>
              </w:rPr>
            </w:pPr>
            <w:r w:rsidRPr="000B76E8">
              <w:rPr>
                <w:rFonts w:cs="Arial"/>
                <w:bCs/>
                <w:szCs w:val="24"/>
              </w:rPr>
              <w:t>“Course will be re-assessed during the Spring 2014 if need to make changes for positive student outcome.”</w:t>
            </w:r>
          </w:p>
          <w:p w:rsidR="00126303" w:rsidRPr="000B76E8" w:rsidRDefault="00126303" w:rsidP="00403268"/>
        </w:tc>
      </w:tr>
      <w:tr w:rsidR="001C62B8" w:rsidRPr="000B76E8" w:rsidTr="00C352F5">
        <w:trPr>
          <w:cantSplit/>
        </w:trPr>
        <w:tc>
          <w:tcPr>
            <w:tcW w:w="476" w:type="pct"/>
          </w:tcPr>
          <w:p w:rsidR="00485E33" w:rsidRPr="000B76E8" w:rsidRDefault="00A06A5F" w:rsidP="004D2DDD">
            <w:r w:rsidRPr="000B76E8">
              <w:lastRenderedPageBreak/>
              <w:t>History 1</w:t>
            </w:r>
          </w:p>
        </w:tc>
        <w:tc>
          <w:tcPr>
            <w:tcW w:w="685" w:type="pct"/>
          </w:tcPr>
          <w:p w:rsidR="00A06A5F" w:rsidRPr="000B76E8" w:rsidRDefault="00A06A5F" w:rsidP="00A06A5F">
            <w:r w:rsidRPr="000B76E8">
              <w:t>3.1 Analyze the fine arts, humanities, and social sciences from cultural, historic, and aesthetic perspectives.</w:t>
            </w:r>
          </w:p>
          <w:p w:rsidR="00A06A5F" w:rsidRPr="000B76E8" w:rsidRDefault="00A06A5F" w:rsidP="00A06A5F"/>
          <w:p w:rsidR="00A06A5F" w:rsidRPr="000B76E8" w:rsidRDefault="00A06A5F" w:rsidP="00A06A5F">
            <w:r w:rsidRPr="000B76E8">
              <w:t>3.2 Apply historical and contemporary issues and events to civic and social responsibility.</w:t>
            </w:r>
          </w:p>
          <w:p w:rsidR="00A06A5F" w:rsidRPr="000B76E8" w:rsidRDefault="00A06A5F" w:rsidP="00A06A5F"/>
          <w:p w:rsidR="00A06A5F" w:rsidRPr="000B76E8" w:rsidRDefault="00A06A5F" w:rsidP="00A06A5F">
            <w:r w:rsidRPr="000B76E8">
              <w:t>3.3 Demonstrate sensitive and respectful treatment of a variety of ethnic, religious, and socioeconomic backgrounds.</w:t>
            </w:r>
          </w:p>
          <w:p w:rsidR="001C62B8" w:rsidRPr="000B76E8" w:rsidRDefault="001C62B8" w:rsidP="00403268"/>
        </w:tc>
        <w:tc>
          <w:tcPr>
            <w:tcW w:w="1175" w:type="pct"/>
          </w:tcPr>
          <w:p w:rsidR="00A06A5F" w:rsidRPr="000B76E8" w:rsidRDefault="00A06A5F" w:rsidP="00A06A5F">
            <w:r w:rsidRPr="000B76E8">
              <w:t>Item analysis of exams, quizzes, problem sets, etc.</w:t>
            </w:r>
          </w:p>
          <w:p w:rsidR="001C62B8" w:rsidRPr="000B76E8" w:rsidRDefault="001C62B8" w:rsidP="00403268"/>
          <w:p w:rsidR="00A06A5F" w:rsidRPr="000B76E8" w:rsidRDefault="00A06A5F" w:rsidP="00403268">
            <w:r w:rsidRPr="000B76E8">
              <w:t>Other: Pre-class and post-class assessments</w:t>
            </w:r>
          </w:p>
        </w:tc>
        <w:tc>
          <w:tcPr>
            <w:tcW w:w="1443" w:type="pct"/>
          </w:tcPr>
          <w:p w:rsidR="00485E33" w:rsidRPr="000B76E8" w:rsidRDefault="00D005D0" w:rsidP="00403268">
            <w:r w:rsidRPr="000B76E8">
              <w:rPr>
                <w:rFonts w:cs="Arial"/>
                <w:bCs/>
                <w:szCs w:val="24"/>
              </w:rPr>
              <w:t>“</w:t>
            </w:r>
            <w:r w:rsidR="00A06A5F" w:rsidRPr="000B76E8">
              <w:rPr>
                <w:rFonts w:cs="Arial"/>
                <w:bCs/>
                <w:szCs w:val="24"/>
              </w:rPr>
              <w:t>80% of students answer the SLO questions correctly in the post class test.</w:t>
            </w:r>
            <w:r w:rsidRPr="000B76E8">
              <w:rPr>
                <w:rFonts w:cs="Arial"/>
                <w:bCs/>
                <w:szCs w:val="24"/>
              </w:rPr>
              <w:t>”</w:t>
            </w:r>
          </w:p>
        </w:tc>
        <w:tc>
          <w:tcPr>
            <w:tcW w:w="1221" w:type="pct"/>
          </w:tcPr>
          <w:p w:rsidR="00A06A5F" w:rsidRPr="000B76E8" w:rsidRDefault="00A06A5F" w:rsidP="00403268">
            <w:pPr>
              <w:autoSpaceDE w:val="0"/>
              <w:autoSpaceDN w:val="0"/>
              <w:adjustRightInd w:val="0"/>
              <w:rPr>
                <w:rFonts w:cs="Arial"/>
                <w:bCs/>
                <w:noProof/>
                <w:szCs w:val="24"/>
              </w:rPr>
            </w:pPr>
            <w:r w:rsidRPr="000B76E8">
              <w:rPr>
                <w:rFonts w:cs="Arial"/>
                <w:bCs/>
                <w:noProof/>
                <w:szCs w:val="24"/>
              </w:rPr>
              <w:t>Conduct further assessments realted to the issue and the outcome.</w:t>
            </w:r>
          </w:p>
          <w:p w:rsidR="00A06A5F" w:rsidRPr="000B76E8" w:rsidRDefault="00A06A5F" w:rsidP="00403268">
            <w:pPr>
              <w:autoSpaceDE w:val="0"/>
              <w:autoSpaceDN w:val="0"/>
              <w:adjustRightInd w:val="0"/>
              <w:rPr>
                <w:rFonts w:cs="Arial"/>
                <w:bCs/>
                <w:noProof/>
                <w:szCs w:val="24"/>
              </w:rPr>
            </w:pPr>
          </w:p>
          <w:p w:rsidR="00A06A5F" w:rsidRPr="000B76E8" w:rsidRDefault="00A06A5F" w:rsidP="00403268">
            <w:pPr>
              <w:autoSpaceDE w:val="0"/>
              <w:autoSpaceDN w:val="0"/>
              <w:adjustRightInd w:val="0"/>
              <w:rPr>
                <w:rFonts w:cs="Arial"/>
                <w:bCs/>
                <w:noProof/>
                <w:szCs w:val="24"/>
              </w:rPr>
            </w:pPr>
            <w:r w:rsidRPr="000B76E8">
              <w:rPr>
                <w:rFonts w:cs="Arial"/>
                <w:bCs/>
                <w:noProof/>
                <w:szCs w:val="24"/>
              </w:rPr>
              <w:t>Revise the course syllabus or outline.</w:t>
            </w:r>
          </w:p>
          <w:p w:rsidR="00A06A5F" w:rsidRPr="000B76E8" w:rsidRDefault="00A06A5F" w:rsidP="00403268">
            <w:pPr>
              <w:autoSpaceDE w:val="0"/>
              <w:autoSpaceDN w:val="0"/>
              <w:adjustRightInd w:val="0"/>
              <w:rPr>
                <w:rFonts w:cs="Arial"/>
                <w:bCs/>
                <w:noProof/>
                <w:szCs w:val="24"/>
              </w:rPr>
            </w:pPr>
          </w:p>
          <w:p w:rsidR="00485E33" w:rsidRPr="000B76E8" w:rsidRDefault="00A06A5F" w:rsidP="00403268">
            <w:pPr>
              <w:autoSpaceDE w:val="0"/>
              <w:autoSpaceDN w:val="0"/>
              <w:adjustRightInd w:val="0"/>
              <w:rPr>
                <w:rFonts w:cs="Arial"/>
                <w:bCs/>
                <w:szCs w:val="24"/>
              </w:rPr>
            </w:pPr>
            <w:r w:rsidRPr="000B76E8">
              <w:rPr>
                <w:rFonts w:cs="Arial"/>
                <w:bCs/>
                <w:noProof/>
                <w:szCs w:val="24"/>
              </w:rPr>
              <w:t>“Although initial assessment results were higher than expected. History faculty are looking at the results and rewriting both the assessment while looking at the course curriculum outcomes to better define the student learning outcomes.”</w:t>
            </w:r>
          </w:p>
        </w:tc>
      </w:tr>
      <w:tr w:rsidR="001C62B8" w:rsidRPr="000B76E8" w:rsidTr="00C352F5">
        <w:trPr>
          <w:cantSplit/>
        </w:trPr>
        <w:tc>
          <w:tcPr>
            <w:tcW w:w="476" w:type="pct"/>
          </w:tcPr>
          <w:p w:rsidR="00485E33" w:rsidRPr="000B76E8" w:rsidRDefault="00D005D0" w:rsidP="004D2DDD">
            <w:r w:rsidRPr="000B76E8">
              <w:lastRenderedPageBreak/>
              <w:t>Library Skills 1</w:t>
            </w:r>
          </w:p>
        </w:tc>
        <w:tc>
          <w:tcPr>
            <w:tcW w:w="685" w:type="pct"/>
          </w:tcPr>
          <w:p w:rsidR="00D005D0" w:rsidRPr="000B76E8" w:rsidRDefault="00D005D0" w:rsidP="00D005D0">
            <w:r w:rsidRPr="000B76E8">
              <w:t>3.1 Analyze the fine arts, humanities, and social sciences from cultural, historic, and aesthetic perspectives.</w:t>
            </w:r>
          </w:p>
          <w:p w:rsidR="00D005D0" w:rsidRPr="000B76E8" w:rsidRDefault="00D005D0" w:rsidP="00D005D0"/>
          <w:p w:rsidR="00D005D0" w:rsidRPr="000B76E8" w:rsidRDefault="00D005D0" w:rsidP="00D005D0">
            <w:r w:rsidRPr="000B76E8">
              <w:t>3.2 Apply historical and contemporary issues and events to civic and social responsibility.</w:t>
            </w:r>
          </w:p>
          <w:p w:rsidR="00D005D0" w:rsidRPr="000B76E8" w:rsidRDefault="00D005D0" w:rsidP="00D005D0"/>
          <w:p w:rsidR="00485E33" w:rsidRPr="000B76E8" w:rsidRDefault="00D005D0" w:rsidP="00D005D0">
            <w:r w:rsidRPr="000B76E8">
              <w:t>3.3 Demonstrate sensitive and respectful treatment of a variety of ethnic, religious, and socioeconomic backgrounds.</w:t>
            </w:r>
          </w:p>
        </w:tc>
        <w:tc>
          <w:tcPr>
            <w:tcW w:w="1175" w:type="pct"/>
          </w:tcPr>
          <w:p w:rsidR="00485E33" w:rsidRPr="000B76E8" w:rsidRDefault="0027597A" w:rsidP="00403268">
            <w:r w:rsidRPr="000B76E8">
              <w:t>Assignments based on rubrics.</w:t>
            </w:r>
          </w:p>
        </w:tc>
        <w:tc>
          <w:tcPr>
            <w:tcW w:w="1443" w:type="pct"/>
          </w:tcPr>
          <w:p w:rsidR="00D005D0" w:rsidRPr="000B76E8" w:rsidRDefault="00D005D0" w:rsidP="00D005D0">
            <w:pPr>
              <w:autoSpaceDE w:val="0"/>
              <w:autoSpaceDN w:val="0"/>
              <w:adjustRightInd w:val="0"/>
              <w:rPr>
                <w:rFonts w:cs="Arial"/>
                <w:bCs/>
                <w:szCs w:val="24"/>
              </w:rPr>
            </w:pPr>
            <w:r w:rsidRPr="000B76E8">
              <w:rPr>
                <w:rFonts w:cs="Arial"/>
                <w:bCs/>
                <w:szCs w:val="24"/>
              </w:rPr>
              <w:t>“70% of students in class will successfully complete assignment.  To complete the assignment students must evaluate bibliographic and content information for three print materials. “</w:t>
            </w:r>
          </w:p>
          <w:p w:rsidR="00D005D0" w:rsidRPr="000B76E8" w:rsidRDefault="00D005D0" w:rsidP="00D005D0">
            <w:pPr>
              <w:autoSpaceDE w:val="0"/>
              <w:autoSpaceDN w:val="0"/>
              <w:adjustRightInd w:val="0"/>
              <w:rPr>
                <w:rFonts w:cs="Arial"/>
                <w:bCs/>
                <w:szCs w:val="24"/>
              </w:rPr>
            </w:pPr>
          </w:p>
          <w:p w:rsidR="00D005D0" w:rsidRPr="000B76E8" w:rsidRDefault="00D005D0" w:rsidP="00D005D0">
            <w:pPr>
              <w:autoSpaceDE w:val="0"/>
              <w:autoSpaceDN w:val="0"/>
              <w:adjustRightInd w:val="0"/>
              <w:rPr>
                <w:rFonts w:cs="Arial"/>
                <w:bCs/>
                <w:szCs w:val="24"/>
              </w:rPr>
            </w:pPr>
            <w:r w:rsidRPr="000B76E8">
              <w:rPr>
                <w:rFonts w:cs="Arial"/>
                <w:bCs/>
                <w:szCs w:val="24"/>
              </w:rPr>
              <w:t>“84% of students  or 11 out of 13 students successfully completed the assignment.  Students who failed the assignment did so because they did not complete the assignment. Of those who did complete the assignment 100% succeeded.”</w:t>
            </w:r>
          </w:p>
          <w:p w:rsidR="00D005D0" w:rsidRPr="000B76E8" w:rsidRDefault="00D005D0" w:rsidP="00D005D0">
            <w:pPr>
              <w:autoSpaceDE w:val="0"/>
              <w:autoSpaceDN w:val="0"/>
              <w:adjustRightInd w:val="0"/>
              <w:rPr>
                <w:rFonts w:cs="Arial"/>
                <w:bCs/>
                <w:szCs w:val="24"/>
              </w:rPr>
            </w:pPr>
          </w:p>
          <w:p w:rsidR="0027597A" w:rsidRPr="000B76E8" w:rsidRDefault="0027597A" w:rsidP="00403268">
            <w:pPr>
              <w:autoSpaceDE w:val="0"/>
              <w:autoSpaceDN w:val="0"/>
              <w:adjustRightInd w:val="0"/>
              <w:rPr>
                <w:rFonts w:cs="Arial"/>
                <w:bCs/>
                <w:szCs w:val="24"/>
              </w:rPr>
            </w:pPr>
          </w:p>
          <w:p w:rsidR="00485E33" w:rsidRPr="000B76E8" w:rsidRDefault="00485E33" w:rsidP="00403268">
            <w:pPr>
              <w:autoSpaceDE w:val="0"/>
              <w:autoSpaceDN w:val="0"/>
              <w:adjustRightInd w:val="0"/>
            </w:pPr>
          </w:p>
        </w:tc>
        <w:tc>
          <w:tcPr>
            <w:tcW w:w="1221" w:type="pct"/>
          </w:tcPr>
          <w:p w:rsidR="00D005D0" w:rsidRPr="000B76E8" w:rsidRDefault="00D005D0" w:rsidP="00D005D0">
            <w:pPr>
              <w:rPr>
                <w:rFonts w:cs="Arial"/>
                <w:bCs/>
                <w:szCs w:val="24"/>
              </w:rPr>
            </w:pPr>
            <w:r w:rsidRPr="000B76E8">
              <w:rPr>
                <w:rFonts w:cs="Arial"/>
                <w:bCs/>
                <w:szCs w:val="24"/>
              </w:rPr>
              <w:t>Results are positive—no change to be made.</w:t>
            </w:r>
          </w:p>
          <w:p w:rsidR="00D005D0" w:rsidRPr="000B76E8" w:rsidRDefault="00D005D0" w:rsidP="00D005D0">
            <w:pPr>
              <w:rPr>
                <w:rFonts w:cs="Arial"/>
                <w:bCs/>
                <w:szCs w:val="24"/>
              </w:rPr>
            </w:pPr>
          </w:p>
          <w:p w:rsidR="00D005D0" w:rsidRPr="000B76E8" w:rsidRDefault="00D005D0" w:rsidP="00D005D0">
            <w:r w:rsidRPr="000B76E8">
              <w:rPr>
                <w:rFonts w:cs="Arial"/>
                <w:bCs/>
                <w:szCs w:val="24"/>
              </w:rPr>
              <w:t>“No changes needed. Will assess new SLO in Spring 2013.”</w:t>
            </w:r>
          </w:p>
          <w:p w:rsidR="00485E33" w:rsidRPr="000B76E8" w:rsidRDefault="00485E33" w:rsidP="00403268"/>
        </w:tc>
      </w:tr>
      <w:tr w:rsidR="001C62B8" w:rsidTr="00C352F5">
        <w:trPr>
          <w:cantSplit/>
        </w:trPr>
        <w:tc>
          <w:tcPr>
            <w:tcW w:w="476" w:type="pct"/>
          </w:tcPr>
          <w:p w:rsidR="00485E33" w:rsidRPr="000B76E8" w:rsidRDefault="00C666D0" w:rsidP="004D2DDD">
            <w:r w:rsidRPr="000B76E8">
              <w:lastRenderedPageBreak/>
              <w:t>Philosophy 1C</w:t>
            </w:r>
          </w:p>
        </w:tc>
        <w:tc>
          <w:tcPr>
            <w:tcW w:w="685" w:type="pct"/>
          </w:tcPr>
          <w:p w:rsidR="00C666D0" w:rsidRPr="000B76E8" w:rsidRDefault="00C666D0" w:rsidP="00C666D0">
            <w:r w:rsidRPr="000B76E8">
              <w:t>3.1 Analyze the fine arts, humanities, and social sciences from cultural, historic, and aesthetic perspectives.</w:t>
            </w:r>
          </w:p>
          <w:p w:rsidR="00C666D0" w:rsidRPr="000B76E8" w:rsidRDefault="00C666D0" w:rsidP="00C666D0"/>
          <w:p w:rsidR="00C666D0" w:rsidRPr="000B76E8" w:rsidRDefault="00C666D0" w:rsidP="00C666D0">
            <w:r w:rsidRPr="000B76E8">
              <w:t>3.2 Apply historical and contemporary issues and events to civic and social responsibility.</w:t>
            </w:r>
          </w:p>
          <w:p w:rsidR="00C666D0" w:rsidRPr="000B76E8" w:rsidRDefault="00C666D0" w:rsidP="00C666D0"/>
          <w:p w:rsidR="004D2DDD" w:rsidRPr="000B76E8" w:rsidRDefault="00C666D0" w:rsidP="00C666D0">
            <w:r w:rsidRPr="000B76E8">
              <w:t>3.3 Demonstrate sensitive and respectful treatment of a variety of ethnic, religious, and socioeconomic backgrounds.</w:t>
            </w:r>
          </w:p>
          <w:p w:rsidR="00485E33" w:rsidRPr="000B76E8" w:rsidRDefault="00485E33" w:rsidP="00403268"/>
        </w:tc>
        <w:tc>
          <w:tcPr>
            <w:tcW w:w="1175" w:type="pct"/>
          </w:tcPr>
          <w:p w:rsidR="00C666D0" w:rsidRPr="000B76E8" w:rsidRDefault="00C666D0" w:rsidP="00C666D0">
            <w:r w:rsidRPr="000B76E8">
              <w:t>Item analysis of exams, quizzes, problem sets, etc.</w:t>
            </w:r>
          </w:p>
          <w:p w:rsidR="00507995" w:rsidRPr="000B76E8" w:rsidRDefault="00507995" w:rsidP="00C666D0"/>
          <w:p w:rsidR="00507995" w:rsidRPr="000B76E8" w:rsidRDefault="00507995" w:rsidP="00C666D0">
            <w:r w:rsidRPr="000B76E8">
              <w:t xml:space="preserve">“A true-false, multiple choice exam on virtue ethics, utilitarianism, and the ethics of care assessed course-level outcomes </w:t>
            </w:r>
            <w:r w:rsidRPr="000B76E8">
              <w:rPr>
                <w:rFonts w:eastAsia="Times New Roman" w:cstheme="minorHAnsi"/>
              </w:rPr>
              <w:t xml:space="preserve">(A) Recognize, clarify, and critically evaluate key arguments of moral philosophy; and </w:t>
            </w:r>
            <w:r w:rsidRPr="000B76E8">
              <w:rPr>
                <w:rFonts w:cstheme="minorHAnsi"/>
              </w:rPr>
              <w:t xml:space="preserve">(C) Critically appraise responses to key moral questions.  A student who passed this exam would have successfully analyzed one area of the humanities (moral philosophy), shown him-or herself able to apply knowledge of contemporary issues to civic and social responsibility, and demonstrated respect for diverse ethical viewpoints.  Passing this exam thus demonstrates competence in all three GELOs under review in Spring 2012.” </w:t>
            </w:r>
            <w:r w:rsidRPr="000B76E8">
              <w:rPr>
                <w:rFonts w:eastAsia="Times New Roman" w:cstheme="minorHAnsi"/>
              </w:rPr>
              <w:t xml:space="preserve">  </w:t>
            </w:r>
            <w:r w:rsidRPr="000B76E8">
              <w:t xml:space="preserve">  </w:t>
            </w:r>
          </w:p>
          <w:p w:rsidR="00485E33" w:rsidRPr="000B76E8" w:rsidRDefault="00485E33" w:rsidP="00403268"/>
        </w:tc>
        <w:tc>
          <w:tcPr>
            <w:tcW w:w="1443" w:type="pct"/>
          </w:tcPr>
          <w:p w:rsidR="00485E33" w:rsidRPr="000B76E8" w:rsidRDefault="003356F9" w:rsidP="003356F9">
            <w:pPr>
              <w:autoSpaceDE w:val="0"/>
              <w:autoSpaceDN w:val="0"/>
              <w:adjustRightInd w:val="0"/>
              <w:rPr>
                <w:rFonts w:cs="Arial"/>
                <w:bCs/>
                <w:szCs w:val="24"/>
              </w:rPr>
            </w:pPr>
            <w:r w:rsidRPr="000B76E8">
              <w:rPr>
                <w:rFonts w:cs="Arial"/>
                <w:bCs/>
                <w:szCs w:val="24"/>
              </w:rPr>
              <w:t>“70% achieve outcome with C-level mastery or better.”</w:t>
            </w:r>
          </w:p>
          <w:p w:rsidR="003356F9" w:rsidRPr="000B76E8" w:rsidRDefault="003356F9" w:rsidP="003356F9">
            <w:pPr>
              <w:autoSpaceDE w:val="0"/>
              <w:autoSpaceDN w:val="0"/>
              <w:adjustRightInd w:val="0"/>
              <w:rPr>
                <w:rFonts w:cs="Arial"/>
                <w:bCs/>
                <w:szCs w:val="24"/>
              </w:rPr>
            </w:pPr>
          </w:p>
          <w:p w:rsidR="003356F9" w:rsidRPr="000B76E8" w:rsidRDefault="003356F9" w:rsidP="003356F9">
            <w:pPr>
              <w:autoSpaceDE w:val="0"/>
              <w:autoSpaceDN w:val="0"/>
              <w:adjustRightInd w:val="0"/>
              <w:rPr>
                <w:rFonts w:cs="Arial"/>
                <w:bCs/>
                <w:szCs w:val="24"/>
              </w:rPr>
            </w:pPr>
            <w:r w:rsidRPr="000B76E8">
              <w:rPr>
                <w:rFonts w:cs="Arial"/>
                <w:bCs/>
                <w:szCs w:val="24"/>
              </w:rPr>
              <w:t xml:space="preserve">“28 students out of 52 (54%) passed the second exam with a grade of C or better. </w:t>
            </w:r>
          </w:p>
        </w:tc>
        <w:tc>
          <w:tcPr>
            <w:tcW w:w="1221" w:type="pct"/>
          </w:tcPr>
          <w:p w:rsidR="00485E33" w:rsidRPr="000B76E8" w:rsidRDefault="003356F9" w:rsidP="00403268">
            <w:r w:rsidRPr="000B76E8">
              <w:t>Conduct further assessment related to the issue and outcome.</w:t>
            </w:r>
          </w:p>
          <w:p w:rsidR="003356F9" w:rsidRPr="000B76E8" w:rsidRDefault="003356F9" w:rsidP="00403268"/>
          <w:p w:rsidR="003356F9" w:rsidRPr="000B76E8" w:rsidRDefault="003356F9" w:rsidP="00403268">
            <w:r w:rsidRPr="000B76E8">
              <w:t>Use new or revised teaching methods.</w:t>
            </w:r>
          </w:p>
          <w:p w:rsidR="003356F9" w:rsidRPr="000B76E8" w:rsidRDefault="003356F9" w:rsidP="003356F9">
            <w:pPr>
              <w:autoSpaceDE w:val="0"/>
              <w:autoSpaceDN w:val="0"/>
              <w:adjustRightInd w:val="0"/>
              <w:rPr>
                <w:rFonts w:cs="Arial"/>
                <w:bCs/>
                <w:szCs w:val="24"/>
              </w:rPr>
            </w:pPr>
          </w:p>
          <w:p w:rsidR="003356F9" w:rsidRDefault="003356F9" w:rsidP="003356F9">
            <w:pPr>
              <w:autoSpaceDE w:val="0"/>
              <w:autoSpaceDN w:val="0"/>
              <w:adjustRightInd w:val="0"/>
              <w:rPr>
                <w:rFonts w:cs="Arial"/>
                <w:bCs/>
                <w:szCs w:val="24"/>
              </w:rPr>
            </w:pPr>
            <w:r w:rsidRPr="000B76E8">
              <w:rPr>
                <w:rFonts w:cs="Arial"/>
                <w:bCs/>
                <w:szCs w:val="24"/>
              </w:rPr>
              <w:t>“For the third exam . . . give them a more detailed study guide.  Some of the post-exam questionnaires suggested that this would be helpful.”</w:t>
            </w:r>
          </w:p>
          <w:p w:rsidR="003356F9" w:rsidRDefault="003356F9" w:rsidP="00403268"/>
        </w:tc>
      </w:tr>
    </w:tbl>
    <w:p w:rsidR="007F6DA8" w:rsidRDefault="007F6DA8" w:rsidP="007F6DA8">
      <w:pPr>
        <w:jc w:val="center"/>
      </w:pPr>
    </w:p>
    <w:sectPr w:rsidR="007F6DA8" w:rsidSect="0040326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B3" w:rsidRDefault="003B77B3" w:rsidP="00941351">
      <w:r>
        <w:separator/>
      </w:r>
    </w:p>
  </w:endnote>
  <w:endnote w:type="continuationSeparator" w:id="0">
    <w:p w:rsidR="003B77B3" w:rsidRDefault="003B77B3" w:rsidP="009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48" w:rsidRPr="00525A48" w:rsidRDefault="00941351" w:rsidP="00525A48">
    <w:pPr>
      <w:pStyle w:val="Footer"/>
    </w:pPr>
    <w:r>
      <w:t>GELO A</w:t>
    </w:r>
    <w:r w:rsidR="00525A48">
      <w:t xml:space="preserve">SSESSMENT SUMMARY, SPRING 2012: </w:t>
    </w:r>
    <w:r w:rsidR="00525A48" w:rsidRPr="00525A48">
      <w:rPr>
        <w:b/>
        <w:i/>
      </w:rPr>
      <w:t>Global and Community Literacy</w:t>
    </w:r>
  </w:p>
  <w:p w:rsidR="00525A48" w:rsidRDefault="00525A48" w:rsidP="00525A48">
    <w:pPr>
      <w:pStyle w:val="ListParagraph"/>
      <w:numPr>
        <w:ilvl w:val="1"/>
        <w:numId w:val="11"/>
      </w:numPr>
    </w:pPr>
    <w:r>
      <w:t>(6) Analyze the fine arts, humanities, and social sciences from cultural, historic, and aesthetic perspectives.</w:t>
    </w:r>
  </w:p>
  <w:p w:rsidR="00525A48" w:rsidRDefault="00525A48" w:rsidP="00525A48">
    <w:pPr>
      <w:pStyle w:val="ListParagraph"/>
      <w:numPr>
        <w:ilvl w:val="1"/>
        <w:numId w:val="11"/>
      </w:numPr>
    </w:pPr>
    <w:r>
      <w:t>(7)  Apply historical and contemporary issues and events to civic and social responsibility.</w:t>
    </w:r>
  </w:p>
  <w:p w:rsidR="00525A48" w:rsidRDefault="00525A48" w:rsidP="00525A48">
    <w:pPr>
      <w:ind w:firstLine="720"/>
      <w:contextualSpacing/>
    </w:pPr>
    <w:r>
      <w:t>3.3 (8) Demonstrate sensitive and respectful treatment of a variety of ethnic, religious, and socioeconomic backgrounds.</w:t>
    </w:r>
  </w:p>
  <w:p w:rsidR="00941351" w:rsidRDefault="00941351">
    <w:pPr>
      <w:pStyle w:val="Footer"/>
    </w:pPr>
  </w:p>
  <w:p w:rsidR="00941351" w:rsidRDefault="0094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B3" w:rsidRDefault="003B77B3" w:rsidP="00941351">
      <w:r>
        <w:separator/>
      </w:r>
    </w:p>
  </w:footnote>
  <w:footnote w:type="continuationSeparator" w:id="0">
    <w:p w:rsidR="003B77B3" w:rsidRDefault="003B77B3" w:rsidP="0094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903"/>
    <w:multiLevelType w:val="multilevel"/>
    <w:tmpl w:val="E75E843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9C55EC0"/>
    <w:multiLevelType w:val="hybridMultilevel"/>
    <w:tmpl w:val="E2B252FA"/>
    <w:lvl w:ilvl="0" w:tplc="651A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44056"/>
    <w:multiLevelType w:val="hybridMultilevel"/>
    <w:tmpl w:val="5A56F1D4"/>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D0E55"/>
    <w:multiLevelType w:val="multilevel"/>
    <w:tmpl w:val="E75E8438"/>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FE47282"/>
    <w:multiLevelType w:val="multilevel"/>
    <w:tmpl w:val="68D2A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8FB236E"/>
    <w:multiLevelType w:val="hybridMultilevel"/>
    <w:tmpl w:val="0C380C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52AB7"/>
    <w:multiLevelType w:val="multilevel"/>
    <w:tmpl w:val="741279B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
    <w:nsid w:val="589B6FD7"/>
    <w:multiLevelType w:val="hybridMultilevel"/>
    <w:tmpl w:val="1910DE88"/>
    <w:lvl w:ilvl="0" w:tplc="53AEC03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64B3063C"/>
    <w:multiLevelType w:val="multilevel"/>
    <w:tmpl w:val="C3541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EE87AF7"/>
    <w:multiLevelType w:val="multilevel"/>
    <w:tmpl w:val="75BE7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34A3E3D"/>
    <w:multiLevelType w:val="hybridMultilevel"/>
    <w:tmpl w:val="C2B2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576A46"/>
    <w:multiLevelType w:val="hybridMultilevel"/>
    <w:tmpl w:val="75DAA512"/>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10"/>
  </w:num>
  <w:num w:numId="5">
    <w:abstractNumId w:val="4"/>
  </w:num>
  <w:num w:numId="6">
    <w:abstractNumId w:val="1"/>
  </w:num>
  <w:num w:numId="7">
    <w:abstractNumId w:val="7"/>
  </w:num>
  <w:num w:numId="8">
    <w:abstractNumId w:val="5"/>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A8"/>
    <w:rsid w:val="00024CCD"/>
    <w:rsid w:val="000B76E8"/>
    <w:rsid w:val="000C0B86"/>
    <w:rsid w:val="000D2047"/>
    <w:rsid w:val="00126303"/>
    <w:rsid w:val="001C62B8"/>
    <w:rsid w:val="0027597A"/>
    <w:rsid w:val="002C5FBD"/>
    <w:rsid w:val="002D6D26"/>
    <w:rsid w:val="003356F9"/>
    <w:rsid w:val="00355A63"/>
    <w:rsid w:val="00360FBD"/>
    <w:rsid w:val="00386B3F"/>
    <w:rsid w:val="003B77B3"/>
    <w:rsid w:val="00403268"/>
    <w:rsid w:val="00445B9C"/>
    <w:rsid w:val="004642FE"/>
    <w:rsid w:val="00485E33"/>
    <w:rsid w:val="004D2DDD"/>
    <w:rsid w:val="00501B01"/>
    <w:rsid w:val="00507995"/>
    <w:rsid w:val="005172BD"/>
    <w:rsid w:val="00525A48"/>
    <w:rsid w:val="00535386"/>
    <w:rsid w:val="00552790"/>
    <w:rsid w:val="00586F8D"/>
    <w:rsid w:val="005D7340"/>
    <w:rsid w:val="006A7676"/>
    <w:rsid w:val="006C55CA"/>
    <w:rsid w:val="00701547"/>
    <w:rsid w:val="007F6DA8"/>
    <w:rsid w:val="008C61E1"/>
    <w:rsid w:val="008D2928"/>
    <w:rsid w:val="00930768"/>
    <w:rsid w:val="00931763"/>
    <w:rsid w:val="00941351"/>
    <w:rsid w:val="00945A12"/>
    <w:rsid w:val="00981801"/>
    <w:rsid w:val="00A06A5F"/>
    <w:rsid w:val="00A65228"/>
    <w:rsid w:val="00AB5516"/>
    <w:rsid w:val="00AE3264"/>
    <w:rsid w:val="00B12885"/>
    <w:rsid w:val="00B652DD"/>
    <w:rsid w:val="00B77DDE"/>
    <w:rsid w:val="00BA7181"/>
    <w:rsid w:val="00BB57F8"/>
    <w:rsid w:val="00BC04F1"/>
    <w:rsid w:val="00BC2088"/>
    <w:rsid w:val="00C00F7C"/>
    <w:rsid w:val="00C0601A"/>
    <w:rsid w:val="00C253CA"/>
    <w:rsid w:val="00C352F5"/>
    <w:rsid w:val="00C666D0"/>
    <w:rsid w:val="00D005D0"/>
    <w:rsid w:val="00D4145C"/>
    <w:rsid w:val="00E013B6"/>
    <w:rsid w:val="00ED4686"/>
    <w:rsid w:val="00F202F4"/>
    <w:rsid w:val="00F4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99">
      <w:bodyDiv w:val="1"/>
      <w:marLeft w:val="0"/>
      <w:marRight w:val="0"/>
      <w:marTop w:val="0"/>
      <w:marBottom w:val="0"/>
      <w:divBdr>
        <w:top w:val="none" w:sz="0" w:space="0" w:color="auto"/>
        <w:left w:val="none" w:sz="0" w:space="0" w:color="auto"/>
        <w:bottom w:val="none" w:sz="0" w:space="0" w:color="auto"/>
        <w:right w:val="none" w:sz="0" w:space="0" w:color="auto"/>
      </w:divBdr>
    </w:div>
    <w:div w:id="375742927">
      <w:bodyDiv w:val="1"/>
      <w:marLeft w:val="0"/>
      <w:marRight w:val="0"/>
      <w:marTop w:val="0"/>
      <w:marBottom w:val="0"/>
      <w:divBdr>
        <w:top w:val="none" w:sz="0" w:space="0" w:color="auto"/>
        <w:left w:val="none" w:sz="0" w:space="0" w:color="auto"/>
        <w:bottom w:val="none" w:sz="0" w:space="0" w:color="auto"/>
        <w:right w:val="none" w:sz="0" w:space="0" w:color="auto"/>
      </w:divBdr>
    </w:div>
    <w:div w:id="491215766">
      <w:bodyDiv w:val="1"/>
      <w:marLeft w:val="0"/>
      <w:marRight w:val="0"/>
      <w:marTop w:val="0"/>
      <w:marBottom w:val="0"/>
      <w:divBdr>
        <w:top w:val="none" w:sz="0" w:space="0" w:color="auto"/>
        <w:left w:val="none" w:sz="0" w:space="0" w:color="auto"/>
        <w:bottom w:val="none" w:sz="0" w:space="0" w:color="auto"/>
        <w:right w:val="none" w:sz="0" w:space="0" w:color="auto"/>
      </w:divBdr>
    </w:div>
    <w:div w:id="691997455">
      <w:bodyDiv w:val="1"/>
      <w:marLeft w:val="0"/>
      <w:marRight w:val="0"/>
      <w:marTop w:val="0"/>
      <w:marBottom w:val="0"/>
      <w:divBdr>
        <w:top w:val="none" w:sz="0" w:space="0" w:color="auto"/>
        <w:left w:val="none" w:sz="0" w:space="0" w:color="auto"/>
        <w:bottom w:val="none" w:sz="0" w:space="0" w:color="auto"/>
        <w:right w:val="none" w:sz="0" w:space="0" w:color="auto"/>
      </w:divBdr>
    </w:div>
    <w:div w:id="964044121">
      <w:bodyDiv w:val="1"/>
      <w:marLeft w:val="0"/>
      <w:marRight w:val="0"/>
      <w:marTop w:val="0"/>
      <w:marBottom w:val="0"/>
      <w:divBdr>
        <w:top w:val="none" w:sz="0" w:space="0" w:color="auto"/>
        <w:left w:val="none" w:sz="0" w:space="0" w:color="auto"/>
        <w:bottom w:val="none" w:sz="0" w:space="0" w:color="auto"/>
        <w:right w:val="none" w:sz="0" w:space="0" w:color="auto"/>
      </w:divBdr>
    </w:div>
    <w:div w:id="1018191682">
      <w:bodyDiv w:val="1"/>
      <w:marLeft w:val="0"/>
      <w:marRight w:val="0"/>
      <w:marTop w:val="0"/>
      <w:marBottom w:val="0"/>
      <w:divBdr>
        <w:top w:val="none" w:sz="0" w:space="0" w:color="auto"/>
        <w:left w:val="none" w:sz="0" w:space="0" w:color="auto"/>
        <w:bottom w:val="none" w:sz="0" w:space="0" w:color="auto"/>
        <w:right w:val="none" w:sz="0" w:space="0" w:color="auto"/>
      </w:divBdr>
    </w:div>
    <w:div w:id="1277636499">
      <w:bodyDiv w:val="1"/>
      <w:marLeft w:val="0"/>
      <w:marRight w:val="0"/>
      <w:marTop w:val="0"/>
      <w:marBottom w:val="0"/>
      <w:divBdr>
        <w:top w:val="none" w:sz="0" w:space="0" w:color="auto"/>
        <w:left w:val="none" w:sz="0" w:space="0" w:color="auto"/>
        <w:bottom w:val="none" w:sz="0" w:space="0" w:color="auto"/>
        <w:right w:val="none" w:sz="0" w:space="0" w:color="auto"/>
      </w:divBdr>
    </w:div>
    <w:div w:id="16437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29D2-6A04-4D2B-895C-D2C41539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jd006</cp:lastModifiedBy>
  <cp:revision>2</cp:revision>
  <cp:lastPrinted>2011-12-16T21:26:00Z</cp:lastPrinted>
  <dcterms:created xsi:type="dcterms:W3CDTF">2012-11-01T15:32:00Z</dcterms:created>
  <dcterms:modified xsi:type="dcterms:W3CDTF">2012-11-01T15:32:00Z</dcterms:modified>
</cp:coreProperties>
</file>